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Layout w:type="fixed"/>
        <w:tblCellMar>
          <w:left w:w="70" w:type="dxa"/>
          <w:right w:w="70" w:type="dxa"/>
        </w:tblCellMar>
        <w:tblLook w:val="0000" w:firstRow="0" w:lastRow="0" w:firstColumn="0" w:lastColumn="0" w:noHBand="0" w:noVBand="0"/>
      </w:tblPr>
      <w:tblGrid>
        <w:gridCol w:w="1418"/>
        <w:gridCol w:w="2410"/>
        <w:gridCol w:w="1701"/>
        <w:gridCol w:w="4394"/>
      </w:tblGrid>
      <w:tr w:rsidR="00273D4C" w:rsidRPr="00273D4C" w:rsidTr="00AC128B">
        <w:trPr>
          <w:trHeight w:val="1985"/>
        </w:trPr>
        <w:tc>
          <w:tcPr>
            <w:tcW w:w="1418" w:type="dxa"/>
            <w:vMerge w:val="restart"/>
          </w:tcPr>
          <w:p w:rsidR="00273D4C" w:rsidRPr="00273D4C" w:rsidRDefault="00273D4C" w:rsidP="00273D4C">
            <w:pPr>
              <w:jc w:val="both"/>
              <w:rPr>
                <w:rFonts w:ascii="Arial" w:hAnsi="Arial"/>
                <w:szCs w:val="20"/>
                <w:lang w:val="fr-FR"/>
              </w:rPr>
            </w:pPr>
            <w:r>
              <w:rPr>
                <w:rFonts w:ascii="Arial" w:hAnsi="Arial"/>
                <w:noProof/>
                <w:szCs w:val="20"/>
              </w:rPr>
              <w:drawing>
                <wp:inline distT="0" distB="0" distL="0" distR="0">
                  <wp:extent cx="748030" cy="1175385"/>
                  <wp:effectExtent l="0" t="0" r="0" b="5715"/>
                  <wp:docPr id="2" name="Image 2" descr="logo-g-lettr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g-lettre-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1175385"/>
                          </a:xfrm>
                          <a:prstGeom prst="rect">
                            <a:avLst/>
                          </a:prstGeom>
                          <a:noFill/>
                          <a:ln>
                            <a:noFill/>
                          </a:ln>
                        </pic:spPr>
                      </pic:pic>
                    </a:graphicData>
                  </a:graphic>
                </wp:inline>
              </w:drawing>
            </w:r>
          </w:p>
        </w:tc>
        <w:tc>
          <w:tcPr>
            <w:tcW w:w="2410" w:type="dxa"/>
          </w:tcPr>
          <w:p w:rsidR="00273D4C" w:rsidRPr="00273D4C" w:rsidRDefault="00273D4C" w:rsidP="00273D4C">
            <w:pPr>
              <w:jc w:val="both"/>
              <w:rPr>
                <w:rFonts w:ascii="Arial" w:hAnsi="Arial"/>
                <w:b/>
                <w:sz w:val="20"/>
                <w:szCs w:val="20"/>
                <w:lang w:val="fr-FR"/>
              </w:rPr>
            </w:pPr>
          </w:p>
          <w:p w:rsidR="00273D4C" w:rsidRPr="00273D4C" w:rsidRDefault="00273D4C" w:rsidP="00273D4C">
            <w:pPr>
              <w:jc w:val="both"/>
              <w:rPr>
                <w:rFonts w:ascii="Arial" w:hAnsi="Arial"/>
                <w:b/>
                <w:sz w:val="20"/>
                <w:szCs w:val="20"/>
                <w:lang w:val="fr-FR"/>
              </w:rPr>
            </w:pPr>
          </w:p>
          <w:p w:rsidR="00273D4C" w:rsidRPr="00273D4C" w:rsidRDefault="00273D4C" w:rsidP="00273D4C">
            <w:pPr>
              <w:jc w:val="both"/>
              <w:rPr>
                <w:rFonts w:ascii="Arial" w:hAnsi="Arial"/>
                <w:b/>
                <w:sz w:val="20"/>
                <w:szCs w:val="20"/>
                <w:lang w:val="fr-FR"/>
              </w:rPr>
            </w:pPr>
            <w:r w:rsidRPr="00273D4C">
              <w:rPr>
                <w:rFonts w:ascii="Arial" w:hAnsi="Arial"/>
                <w:b/>
                <w:sz w:val="20"/>
                <w:szCs w:val="20"/>
                <w:lang w:val="fr-FR"/>
              </w:rPr>
              <w:t>Grand Conseil</w:t>
            </w:r>
          </w:p>
          <w:p w:rsidR="00273D4C" w:rsidRPr="00273D4C" w:rsidRDefault="00273D4C" w:rsidP="00273D4C">
            <w:pPr>
              <w:jc w:val="both"/>
              <w:rPr>
                <w:rFonts w:ascii="Arial" w:hAnsi="Arial"/>
                <w:spacing w:val="-8"/>
                <w:sz w:val="20"/>
                <w:szCs w:val="20"/>
                <w:lang w:val="fr-FR"/>
              </w:rPr>
            </w:pPr>
            <w:r w:rsidRPr="00273D4C">
              <w:rPr>
                <w:rFonts w:ascii="Arial" w:hAnsi="Arial"/>
                <w:spacing w:val="-8"/>
                <w:sz w:val="20"/>
                <w:szCs w:val="20"/>
                <w:lang w:val="fr-FR"/>
              </w:rPr>
              <w:t>Secrétariat général</w:t>
            </w:r>
          </w:p>
          <w:p w:rsidR="00273D4C" w:rsidRPr="00273D4C" w:rsidRDefault="00273D4C" w:rsidP="00273D4C">
            <w:pPr>
              <w:jc w:val="both"/>
              <w:rPr>
                <w:rFonts w:ascii="Arial" w:hAnsi="Arial"/>
                <w:spacing w:val="-8"/>
                <w:sz w:val="20"/>
                <w:szCs w:val="20"/>
                <w:lang w:val="fr-FR"/>
              </w:rPr>
            </w:pPr>
            <w:r w:rsidRPr="00273D4C">
              <w:rPr>
                <w:rFonts w:ascii="Arial" w:hAnsi="Arial"/>
                <w:spacing w:val="-8"/>
                <w:sz w:val="20"/>
                <w:szCs w:val="20"/>
                <w:lang w:val="fr-FR"/>
              </w:rPr>
              <w:t>Pl. du Château 6</w:t>
            </w:r>
          </w:p>
          <w:p w:rsidR="00273D4C" w:rsidRPr="00273D4C" w:rsidRDefault="00273D4C" w:rsidP="00273D4C">
            <w:pPr>
              <w:jc w:val="both"/>
              <w:rPr>
                <w:rFonts w:ascii="Arial" w:hAnsi="Arial"/>
                <w:spacing w:val="-8"/>
                <w:sz w:val="20"/>
                <w:szCs w:val="20"/>
                <w:lang w:val="fr-FR"/>
              </w:rPr>
            </w:pPr>
            <w:r w:rsidRPr="00273D4C">
              <w:rPr>
                <w:rFonts w:ascii="Arial" w:hAnsi="Arial"/>
                <w:spacing w:val="-8"/>
                <w:sz w:val="20"/>
                <w:szCs w:val="20"/>
                <w:lang w:val="fr-FR"/>
              </w:rPr>
              <w:t>1014 Lausanne</w:t>
            </w:r>
          </w:p>
          <w:p w:rsidR="00273D4C" w:rsidRPr="00273D4C" w:rsidRDefault="00273D4C" w:rsidP="00273D4C">
            <w:pPr>
              <w:jc w:val="both"/>
              <w:rPr>
                <w:rFonts w:ascii="Arial" w:hAnsi="Arial"/>
                <w:sz w:val="20"/>
                <w:szCs w:val="20"/>
                <w:lang w:val="fr-FR"/>
              </w:rPr>
            </w:pPr>
          </w:p>
        </w:tc>
        <w:tc>
          <w:tcPr>
            <w:tcW w:w="1701" w:type="dxa"/>
          </w:tcPr>
          <w:p w:rsidR="00273D4C" w:rsidRPr="00273D4C" w:rsidRDefault="00273D4C" w:rsidP="00273D4C">
            <w:pPr>
              <w:jc w:val="both"/>
              <w:rPr>
                <w:rFonts w:ascii="Arial" w:hAnsi="Arial"/>
                <w:sz w:val="20"/>
                <w:szCs w:val="20"/>
                <w:lang w:val="fr-FR"/>
              </w:rPr>
            </w:pPr>
          </w:p>
        </w:tc>
        <w:tc>
          <w:tcPr>
            <w:tcW w:w="4394" w:type="dxa"/>
            <w:vMerge w:val="restart"/>
          </w:tcPr>
          <w:p w:rsidR="00273D4C" w:rsidRPr="00273D4C" w:rsidRDefault="00273D4C" w:rsidP="00273D4C">
            <w:pPr>
              <w:jc w:val="center"/>
              <w:rPr>
                <w:rFonts w:ascii="Arial" w:hAnsi="Arial"/>
                <w:b/>
                <w:sz w:val="44"/>
                <w:szCs w:val="44"/>
                <w:lang w:val="fr-FR"/>
              </w:rPr>
            </w:pPr>
            <w:r w:rsidRPr="00273D4C">
              <w:rPr>
                <w:rFonts w:ascii="Arial" w:hAnsi="Arial"/>
                <w:b/>
                <w:sz w:val="44"/>
                <w:szCs w:val="44"/>
                <w:lang w:val="fr-FR"/>
              </w:rPr>
              <w:t>Interpellation</w:t>
            </w:r>
          </w:p>
          <w:p w:rsidR="00273D4C" w:rsidRPr="00273D4C" w:rsidRDefault="00273D4C" w:rsidP="00273D4C">
            <w:pPr>
              <w:ind w:left="74"/>
              <w:jc w:val="center"/>
              <w:rPr>
                <w:rFonts w:ascii="Arial" w:hAnsi="Arial"/>
                <w:iCs/>
                <w:sz w:val="22"/>
                <w:szCs w:val="20"/>
                <w:lang w:val="fr-FR"/>
              </w:rPr>
            </w:pPr>
            <w:r w:rsidRPr="00273D4C">
              <w:rPr>
                <w:rFonts w:ascii="Arial" w:hAnsi="Arial"/>
                <w:iCs/>
                <w:sz w:val="22"/>
                <w:szCs w:val="20"/>
                <w:lang w:val="fr-FR"/>
              </w:rPr>
              <w:t xml:space="preserve"> (formulaire de dépôt)</w:t>
            </w:r>
          </w:p>
          <w:p w:rsidR="00273D4C" w:rsidRPr="00273D4C" w:rsidRDefault="00273D4C" w:rsidP="00273D4C">
            <w:pPr>
              <w:ind w:left="74"/>
              <w:jc w:val="center"/>
              <w:rPr>
                <w:rFonts w:ascii="Arial" w:hAnsi="Arial"/>
                <w:iCs/>
                <w:sz w:val="22"/>
                <w:szCs w:val="20"/>
                <w:lang w:val="fr-FR"/>
              </w:rPr>
            </w:pPr>
          </w:p>
          <w:p w:rsidR="00273D4C" w:rsidRPr="00273D4C" w:rsidRDefault="00273D4C" w:rsidP="00273D4C">
            <w:pPr>
              <w:ind w:left="74"/>
              <w:jc w:val="both"/>
              <w:rPr>
                <w:rFonts w:ascii="Arial" w:hAnsi="Arial"/>
                <w:i/>
                <w:sz w:val="22"/>
                <w:szCs w:val="20"/>
                <w:lang w:val="fr-FR"/>
              </w:rPr>
            </w:pPr>
            <w:r w:rsidRPr="00273D4C">
              <w:rPr>
                <w:rFonts w:ascii="Arial" w:hAnsi="Arial"/>
                <w:i/>
                <w:sz w:val="22"/>
                <w:szCs w:val="20"/>
                <w:lang w:val="fr-FR"/>
              </w:rPr>
              <w:t>A remplir par le Secrétariat du Grand Conseil</w:t>
            </w:r>
          </w:p>
          <w:p w:rsidR="00273D4C" w:rsidRPr="00273D4C" w:rsidRDefault="00273D4C" w:rsidP="00273D4C">
            <w:pPr>
              <w:ind w:left="74"/>
              <w:jc w:val="both"/>
              <w:rPr>
                <w:rFonts w:ascii="Arial" w:hAnsi="Arial"/>
                <w:i/>
                <w:sz w:val="22"/>
                <w:szCs w:val="20"/>
                <w:lang w:val="fr-FR"/>
              </w:rPr>
            </w:pPr>
          </w:p>
          <w:p w:rsidR="00273D4C" w:rsidRPr="00273D4C" w:rsidRDefault="00273D4C" w:rsidP="00273D4C">
            <w:pPr>
              <w:ind w:left="74"/>
              <w:jc w:val="both"/>
              <w:rPr>
                <w:rFonts w:ascii="Arial" w:hAnsi="Arial"/>
                <w:iCs/>
                <w:sz w:val="22"/>
                <w:szCs w:val="20"/>
                <w:lang w:val="fr-FR"/>
              </w:rPr>
            </w:pPr>
            <w:r w:rsidRPr="00273D4C">
              <w:rPr>
                <w:rFonts w:ascii="Arial" w:hAnsi="Arial"/>
                <w:iCs/>
                <w:sz w:val="22"/>
                <w:szCs w:val="20"/>
                <w:lang w:val="fr-FR"/>
              </w:rPr>
              <w:t>N° de tiré à part : ___________________</w:t>
            </w:r>
          </w:p>
          <w:p w:rsidR="00273D4C" w:rsidRPr="00273D4C" w:rsidRDefault="00273D4C" w:rsidP="00273D4C">
            <w:pPr>
              <w:ind w:left="74"/>
              <w:jc w:val="both"/>
              <w:rPr>
                <w:rFonts w:ascii="Arial" w:hAnsi="Arial"/>
                <w:iCs/>
                <w:sz w:val="22"/>
                <w:szCs w:val="20"/>
                <w:lang w:val="fr-FR"/>
              </w:rPr>
            </w:pPr>
          </w:p>
          <w:p w:rsidR="00273D4C" w:rsidRPr="00273D4C" w:rsidRDefault="00273D4C" w:rsidP="00273D4C">
            <w:pPr>
              <w:jc w:val="both"/>
              <w:rPr>
                <w:rFonts w:ascii="Arial" w:hAnsi="Arial"/>
                <w:iCs/>
                <w:sz w:val="22"/>
                <w:szCs w:val="20"/>
                <w:lang w:val="fr-FR"/>
              </w:rPr>
            </w:pPr>
            <w:r w:rsidRPr="00273D4C">
              <w:rPr>
                <w:rFonts w:ascii="Arial" w:hAnsi="Arial"/>
                <w:iCs/>
                <w:sz w:val="22"/>
                <w:szCs w:val="20"/>
                <w:lang w:val="fr-FR"/>
              </w:rPr>
              <w:t xml:space="preserve"> Déposé le : ________________________</w:t>
            </w:r>
          </w:p>
          <w:p w:rsidR="00273D4C" w:rsidRPr="00273D4C" w:rsidRDefault="00273D4C" w:rsidP="00273D4C">
            <w:pPr>
              <w:jc w:val="both"/>
              <w:rPr>
                <w:rFonts w:ascii="Arial" w:hAnsi="Arial"/>
                <w:iCs/>
                <w:sz w:val="22"/>
                <w:szCs w:val="20"/>
                <w:lang w:val="fr-FR"/>
              </w:rPr>
            </w:pPr>
          </w:p>
          <w:p w:rsidR="00273D4C" w:rsidRPr="00273D4C" w:rsidRDefault="00273D4C" w:rsidP="00273D4C">
            <w:pPr>
              <w:jc w:val="both"/>
              <w:rPr>
                <w:rFonts w:ascii="Arial" w:hAnsi="Arial"/>
                <w:iCs/>
                <w:sz w:val="22"/>
                <w:szCs w:val="20"/>
                <w:lang w:val="fr-FR"/>
              </w:rPr>
            </w:pPr>
            <w:r w:rsidRPr="00273D4C">
              <w:rPr>
                <w:rFonts w:ascii="Arial" w:hAnsi="Arial"/>
                <w:iCs/>
                <w:sz w:val="22"/>
                <w:szCs w:val="20"/>
                <w:lang w:val="fr-FR"/>
              </w:rPr>
              <w:t xml:space="preserve"> Scanné le : ________________________</w:t>
            </w:r>
          </w:p>
          <w:p w:rsidR="00273D4C" w:rsidRPr="00273D4C" w:rsidRDefault="00273D4C" w:rsidP="00273D4C">
            <w:pPr>
              <w:ind w:left="74"/>
              <w:jc w:val="both"/>
              <w:rPr>
                <w:rFonts w:ascii="Arial" w:hAnsi="Arial"/>
                <w:i/>
                <w:sz w:val="22"/>
                <w:szCs w:val="20"/>
                <w:lang w:val="fr-FR"/>
              </w:rPr>
            </w:pPr>
          </w:p>
        </w:tc>
      </w:tr>
      <w:tr w:rsidR="00273D4C" w:rsidRPr="00273D4C" w:rsidTr="00AC128B">
        <w:trPr>
          <w:cantSplit/>
        </w:trPr>
        <w:tc>
          <w:tcPr>
            <w:tcW w:w="1418" w:type="dxa"/>
            <w:vMerge/>
          </w:tcPr>
          <w:p w:rsidR="00273D4C" w:rsidRPr="00273D4C" w:rsidRDefault="00273D4C" w:rsidP="00273D4C">
            <w:pPr>
              <w:jc w:val="both"/>
              <w:rPr>
                <w:rFonts w:ascii="Arial" w:hAnsi="Arial"/>
                <w:szCs w:val="20"/>
                <w:lang w:val="fr-FR"/>
              </w:rPr>
            </w:pPr>
          </w:p>
        </w:tc>
        <w:tc>
          <w:tcPr>
            <w:tcW w:w="4111" w:type="dxa"/>
            <w:gridSpan w:val="2"/>
          </w:tcPr>
          <w:p w:rsidR="00273D4C" w:rsidRPr="00273D4C" w:rsidRDefault="00273D4C" w:rsidP="00273D4C">
            <w:pPr>
              <w:ind w:left="72"/>
              <w:jc w:val="both"/>
              <w:rPr>
                <w:rFonts w:ascii="Arial" w:hAnsi="Arial"/>
                <w:szCs w:val="20"/>
                <w:lang w:val="fr-FR"/>
              </w:rPr>
            </w:pPr>
          </w:p>
        </w:tc>
        <w:tc>
          <w:tcPr>
            <w:tcW w:w="4394" w:type="dxa"/>
            <w:vMerge/>
          </w:tcPr>
          <w:p w:rsidR="00273D4C" w:rsidRPr="00273D4C" w:rsidRDefault="00273D4C" w:rsidP="00273D4C">
            <w:pPr>
              <w:ind w:left="74"/>
              <w:jc w:val="both"/>
              <w:rPr>
                <w:rFonts w:ascii="Arial" w:hAnsi="Arial"/>
                <w:sz w:val="22"/>
                <w:szCs w:val="20"/>
                <w:lang w:val="fr-FR"/>
              </w:rPr>
            </w:pPr>
          </w:p>
        </w:tc>
      </w:tr>
    </w:tbl>
    <w:p w:rsidR="00273D4C" w:rsidRPr="00273D4C" w:rsidRDefault="00273D4C" w:rsidP="00273D4C">
      <w:pPr>
        <w:ind w:left="993"/>
        <w:jc w:val="both"/>
        <w:rPr>
          <w:rFonts w:ascii="Arial" w:hAnsi="Arial"/>
          <w:sz w:val="22"/>
          <w:szCs w:val="20"/>
          <w:lang w:val="fr-FR"/>
        </w:rPr>
      </w:pPr>
    </w:p>
    <w:p w:rsidR="00273D4C" w:rsidRPr="00273D4C" w:rsidRDefault="00273D4C" w:rsidP="00273D4C">
      <w:pPr>
        <w:ind w:left="993"/>
        <w:jc w:val="both"/>
        <w:rPr>
          <w:rFonts w:ascii="Arial" w:hAnsi="Arial"/>
          <w:sz w:val="22"/>
          <w:szCs w:val="20"/>
          <w:lang w:val="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273D4C" w:rsidRPr="00273D4C" w:rsidTr="00AC128B">
        <w:tc>
          <w:tcPr>
            <w:tcW w:w="9955" w:type="dxa"/>
            <w:shd w:val="clear" w:color="auto" w:fill="auto"/>
          </w:tcPr>
          <w:p w:rsidR="00273D4C" w:rsidRPr="00273D4C" w:rsidRDefault="00273D4C" w:rsidP="00273D4C">
            <w:pPr>
              <w:tabs>
                <w:tab w:val="left" w:pos="993"/>
              </w:tabs>
              <w:jc w:val="both"/>
              <w:rPr>
                <w:rFonts w:ascii="Arial" w:hAnsi="Arial"/>
                <w:sz w:val="22"/>
                <w:szCs w:val="22"/>
                <w:lang w:val="fr-FR"/>
              </w:rPr>
            </w:pPr>
            <w:r w:rsidRPr="00273D4C">
              <w:rPr>
                <w:rFonts w:ascii="Arial" w:hAnsi="Arial"/>
                <w:b/>
                <w:bCs/>
                <w:sz w:val="22"/>
                <w:szCs w:val="22"/>
                <w:lang w:val="fr-FR"/>
              </w:rPr>
              <w:t xml:space="preserve">Art. 115 et 116 LGC </w:t>
            </w:r>
            <w:r w:rsidRPr="00273D4C">
              <w:rPr>
                <w:rFonts w:ascii="Arial" w:hAnsi="Arial"/>
                <w:sz w:val="22"/>
                <w:szCs w:val="22"/>
                <w:lang w:val="fr-FR"/>
              </w:rPr>
              <w:t xml:space="preserve">L’interpellation est une demande d’explications ou de précisions adressée </w:t>
            </w:r>
            <w:proofErr w:type="gramStart"/>
            <w:r w:rsidRPr="00273D4C">
              <w:rPr>
                <w:rFonts w:ascii="Arial" w:hAnsi="Arial"/>
                <w:sz w:val="22"/>
                <w:szCs w:val="22"/>
                <w:lang w:val="fr-FR"/>
              </w:rPr>
              <w:t>au</w:t>
            </w:r>
            <w:proofErr w:type="gramEnd"/>
            <w:r w:rsidRPr="00273D4C">
              <w:rPr>
                <w:rFonts w:ascii="Arial" w:hAnsi="Arial"/>
                <w:sz w:val="22"/>
                <w:szCs w:val="22"/>
                <w:lang w:val="fr-FR"/>
              </w:rPr>
              <w:t xml:space="preserve"> CE sur un fait du gouvernement ou de son administration. Elle porte sur une compétence propre ou déléguée </w:t>
            </w:r>
            <w:proofErr w:type="gramStart"/>
            <w:r w:rsidRPr="00273D4C">
              <w:rPr>
                <w:rFonts w:ascii="Arial" w:hAnsi="Arial"/>
                <w:sz w:val="22"/>
                <w:szCs w:val="22"/>
                <w:lang w:val="fr-FR"/>
              </w:rPr>
              <w:t>du</w:t>
            </w:r>
            <w:proofErr w:type="gramEnd"/>
            <w:r w:rsidRPr="00273D4C">
              <w:rPr>
                <w:rFonts w:ascii="Arial" w:hAnsi="Arial"/>
                <w:sz w:val="22"/>
                <w:szCs w:val="22"/>
                <w:lang w:val="fr-FR"/>
              </w:rPr>
              <w:t xml:space="preserve"> CE et peut être développée oralement devant le GC. Les questions qu’elle contient sont exprimées de telle manière que le CE puisse y répondre et sont suffisamment précises pour qu’une réponse courte y soit apportée dans le délai légal (attention : ne pas demander un rapport, auquel cas il s’agit d’un postulat).</w:t>
            </w:r>
          </w:p>
          <w:p w:rsidR="00273D4C" w:rsidRPr="00273D4C" w:rsidRDefault="00273D4C" w:rsidP="00273D4C">
            <w:pPr>
              <w:tabs>
                <w:tab w:val="left" w:pos="993"/>
              </w:tabs>
              <w:jc w:val="both"/>
              <w:rPr>
                <w:rFonts w:ascii="Arial" w:hAnsi="Arial"/>
                <w:sz w:val="22"/>
                <w:szCs w:val="22"/>
                <w:lang w:val="fr-FR"/>
              </w:rPr>
            </w:pPr>
            <w:r w:rsidRPr="00273D4C">
              <w:rPr>
                <w:rFonts w:ascii="Arial" w:hAnsi="Arial"/>
                <w:i/>
                <w:iCs/>
                <w:sz w:val="22"/>
                <w:szCs w:val="22"/>
                <w:lang w:val="fr-FR"/>
              </w:rPr>
              <w:t xml:space="preserve">Délai de réponse dès le renvoi </w:t>
            </w:r>
            <w:proofErr w:type="gramStart"/>
            <w:r w:rsidRPr="00273D4C">
              <w:rPr>
                <w:rFonts w:ascii="Arial" w:hAnsi="Arial"/>
                <w:i/>
                <w:iCs/>
                <w:sz w:val="22"/>
                <w:szCs w:val="22"/>
                <w:lang w:val="fr-FR"/>
              </w:rPr>
              <w:t>au</w:t>
            </w:r>
            <w:proofErr w:type="gramEnd"/>
            <w:r w:rsidRPr="00273D4C">
              <w:rPr>
                <w:rFonts w:ascii="Arial" w:hAnsi="Arial"/>
                <w:i/>
                <w:iCs/>
                <w:sz w:val="22"/>
                <w:szCs w:val="22"/>
                <w:lang w:val="fr-FR"/>
              </w:rPr>
              <w:t xml:space="preserve"> CE : </w:t>
            </w:r>
            <w:r w:rsidRPr="00273D4C">
              <w:rPr>
                <w:rFonts w:ascii="Arial" w:hAnsi="Arial"/>
                <w:b/>
                <w:i/>
                <w:iCs/>
                <w:sz w:val="22"/>
                <w:szCs w:val="22"/>
                <w:lang w:val="fr-FR"/>
              </w:rPr>
              <w:t>trois mois</w:t>
            </w:r>
            <w:r w:rsidRPr="00273D4C">
              <w:rPr>
                <w:rFonts w:ascii="Arial" w:hAnsi="Arial"/>
                <w:i/>
                <w:iCs/>
                <w:sz w:val="22"/>
                <w:szCs w:val="22"/>
                <w:lang w:val="fr-FR"/>
              </w:rPr>
              <w:t>.</w:t>
            </w:r>
          </w:p>
        </w:tc>
      </w:tr>
    </w:tbl>
    <w:p w:rsidR="00273D4C" w:rsidRPr="00273D4C" w:rsidRDefault="00273D4C" w:rsidP="00273D4C">
      <w:pPr>
        <w:ind w:left="567"/>
        <w:jc w:val="both"/>
        <w:rPr>
          <w:rFonts w:ascii="Arial" w:hAnsi="Arial"/>
          <w:sz w:val="22"/>
          <w:szCs w:val="20"/>
          <w:lang w:val="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273D4C" w:rsidRPr="00273D4C" w:rsidTr="00AC128B">
        <w:trPr>
          <w:trHeight w:val="400"/>
        </w:trPr>
        <w:tc>
          <w:tcPr>
            <w:tcW w:w="9955" w:type="dxa"/>
            <w:shd w:val="clear" w:color="auto" w:fill="auto"/>
          </w:tcPr>
          <w:p w:rsidR="00273D4C" w:rsidRPr="00273D4C" w:rsidRDefault="00273D4C" w:rsidP="00273D4C">
            <w:pPr>
              <w:tabs>
                <w:tab w:val="left" w:pos="851"/>
                <w:tab w:val="center" w:pos="6521"/>
              </w:tabs>
              <w:jc w:val="both"/>
              <w:rPr>
                <w:rFonts w:ascii="Arial" w:hAnsi="Arial"/>
                <w:iCs/>
                <w:sz w:val="22"/>
                <w:szCs w:val="22"/>
                <w:lang w:val="fr-FR"/>
              </w:rPr>
            </w:pPr>
            <w:r w:rsidRPr="00273D4C">
              <w:rPr>
                <w:rFonts w:ascii="Arial" w:hAnsi="Arial"/>
                <w:iCs/>
                <w:sz w:val="22"/>
                <w:szCs w:val="22"/>
                <w:u w:val="single"/>
                <w:lang w:val="fr-FR"/>
              </w:rPr>
              <w:t>Titre de l’interpellation</w:t>
            </w:r>
            <w:r w:rsidRPr="00273D4C">
              <w:rPr>
                <w:rFonts w:ascii="Arial" w:hAnsi="Arial"/>
                <w:iCs/>
                <w:sz w:val="22"/>
                <w:szCs w:val="22"/>
                <w:lang w:val="fr-FR"/>
              </w:rPr>
              <w:t xml:space="preserve"> </w:t>
            </w:r>
          </w:p>
          <w:p w:rsidR="00273D4C" w:rsidRPr="00273D4C" w:rsidRDefault="00273D4C" w:rsidP="00273D4C">
            <w:pPr>
              <w:tabs>
                <w:tab w:val="left" w:pos="851"/>
                <w:tab w:val="center" w:pos="6521"/>
              </w:tabs>
              <w:jc w:val="both"/>
              <w:rPr>
                <w:rFonts w:ascii="Arial" w:hAnsi="Arial"/>
                <w:iCs/>
                <w:sz w:val="22"/>
                <w:szCs w:val="22"/>
                <w:lang w:val="fr-FR"/>
              </w:rPr>
            </w:pPr>
          </w:p>
          <w:p w:rsidR="00273D4C" w:rsidRPr="00273D4C" w:rsidRDefault="00712447" w:rsidP="00712447">
            <w:pPr>
              <w:tabs>
                <w:tab w:val="left" w:pos="851"/>
                <w:tab w:val="center" w:pos="6521"/>
              </w:tabs>
              <w:jc w:val="both"/>
              <w:rPr>
                <w:rFonts w:ascii="Arial" w:hAnsi="Arial"/>
                <w:iCs/>
                <w:sz w:val="22"/>
                <w:szCs w:val="22"/>
                <w:lang w:val="fr-FR"/>
              </w:rPr>
            </w:pPr>
            <w:r>
              <w:rPr>
                <w:rFonts w:ascii="Arial" w:hAnsi="Arial"/>
                <w:iCs/>
                <w:sz w:val="22"/>
                <w:szCs w:val="22"/>
                <w:lang w:val="fr-FR"/>
              </w:rPr>
              <w:t>Ouverture d’un é</w:t>
            </w:r>
            <w:r w:rsidR="00332C19">
              <w:rPr>
                <w:rFonts w:ascii="Arial" w:hAnsi="Arial"/>
                <w:iCs/>
                <w:sz w:val="22"/>
                <w:szCs w:val="22"/>
                <w:lang w:val="fr-FR"/>
              </w:rPr>
              <w:t>tablissement public d’un géant du tabac américain </w:t>
            </w:r>
            <w:r w:rsidR="00C570F9">
              <w:rPr>
                <w:rFonts w:ascii="Arial" w:hAnsi="Arial"/>
                <w:iCs/>
                <w:sz w:val="22"/>
                <w:szCs w:val="22"/>
                <w:lang w:val="fr-FR"/>
              </w:rPr>
              <w:t>à Lausanne</w:t>
            </w:r>
            <w:r w:rsidR="00332C19">
              <w:rPr>
                <w:rFonts w:ascii="Arial" w:hAnsi="Arial"/>
                <w:iCs/>
                <w:sz w:val="22"/>
                <w:szCs w:val="22"/>
                <w:lang w:val="fr-FR"/>
              </w:rPr>
              <w:t xml:space="preserve">: </w:t>
            </w:r>
            <w:r>
              <w:rPr>
                <w:rFonts w:ascii="Arial" w:hAnsi="Arial"/>
                <w:iCs/>
                <w:sz w:val="22"/>
                <w:szCs w:val="22"/>
                <w:lang w:val="fr-FR"/>
              </w:rPr>
              <w:t>des</w:t>
            </w:r>
            <w:r w:rsidR="00332C19">
              <w:rPr>
                <w:rFonts w:ascii="Arial" w:hAnsi="Arial"/>
                <w:iCs/>
                <w:sz w:val="22"/>
                <w:szCs w:val="22"/>
                <w:lang w:val="fr-FR"/>
              </w:rPr>
              <w:t xml:space="preserve"> questions</w:t>
            </w:r>
            <w:r>
              <w:rPr>
                <w:rFonts w:ascii="Arial" w:hAnsi="Arial"/>
                <w:iCs/>
                <w:sz w:val="22"/>
                <w:szCs w:val="22"/>
                <w:lang w:val="fr-FR"/>
              </w:rPr>
              <w:t>, des questions et des questions</w:t>
            </w:r>
            <w:r w:rsidR="00332C19">
              <w:rPr>
                <w:rFonts w:ascii="Arial" w:hAnsi="Arial"/>
                <w:iCs/>
                <w:sz w:val="22"/>
                <w:szCs w:val="22"/>
                <w:lang w:val="fr-FR"/>
              </w:rPr>
              <w:t>…</w:t>
            </w:r>
          </w:p>
        </w:tc>
      </w:tr>
    </w:tbl>
    <w:p w:rsidR="00273D4C" w:rsidRPr="00273D4C" w:rsidRDefault="00273D4C" w:rsidP="00273D4C">
      <w:pPr>
        <w:tabs>
          <w:tab w:val="left" w:pos="851"/>
          <w:tab w:val="center" w:pos="6521"/>
        </w:tabs>
        <w:jc w:val="both"/>
        <w:rPr>
          <w:rFonts w:ascii="Arial" w:hAnsi="Arial"/>
          <w:i/>
          <w:sz w:val="22"/>
          <w:szCs w:val="20"/>
          <w:lang w:val="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9"/>
      </w:tblGrid>
      <w:tr w:rsidR="00273D4C" w:rsidRPr="00273D4C" w:rsidTr="00AC128B">
        <w:trPr>
          <w:trHeight w:val="412"/>
        </w:trPr>
        <w:tc>
          <w:tcPr>
            <w:tcW w:w="10009" w:type="dxa"/>
            <w:shd w:val="clear" w:color="auto" w:fill="auto"/>
          </w:tcPr>
          <w:p w:rsidR="00273D4C" w:rsidRPr="00222188" w:rsidRDefault="00273D4C" w:rsidP="00273D4C">
            <w:pPr>
              <w:tabs>
                <w:tab w:val="left" w:pos="851"/>
                <w:tab w:val="center" w:pos="6521"/>
              </w:tabs>
              <w:jc w:val="both"/>
              <w:rPr>
                <w:rFonts w:ascii="Arial" w:hAnsi="Arial"/>
                <w:iCs/>
                <w:sz w:val="22"/>
                <w:szCs w:val="22"/>
                <w:lang w:val="fr-FR"/>
              </w:rPr>
            </w:pPr>
            <w:r w:rsidRPr="00273D4C">
              <w:rPr>
                <w:rFonts w:ascii="Arial" w:hAnsi="Arial"/>
                <w:iCs/>
                <w:sz w:val="22"/>
                <w:szCs w:val="22"/>
                <w:u w:val="single"/>
                <w:lang w:val="fr-FR"/>
              </w:rPr>
              <w:t>Texte déposé</w:t>
            </w:r>
            <w:r w:rsidRPr="00273D4C">
              <w:rPr>
                <w:rFonts w:ascii="Arial" w:hAnsi="Arial"/>
                <w:iCs/>
                <w:sz w:val="22"/>
                <w:szCs w:val="22"/>
                <w:lang w:val="fr-FR"/>
              </w:rPr>
              <w:t xml:space="preserve"> </w:t>
            </w:r>
          </w:p>
          <w:p w:rsidR="00AC128B" w:rsidRPr="00222188" w:rsidRDefault="00AC128B" w:rsidP="00AC128B">
            <w:pPr>
              <w:rPr>
                <w:rFonts w:ascii="Calibri" w:hAnsi="Calibri"/>
                <w:sz w:val="22"/>
                <w:szCs w:val="22"/>
              </w:rPr>
            </w:pPr>
          </w:p>
          <w:p w:rsidR="00AC128B" w:rsidRPr="00332C19" w:rsidRDefault="00200276" w:rsidP="00332C19">
            <w:pPr>
              <w:jc w:val="both"/>
              <w:rPr>
                <w:rFonts w:ascii="Arial" w:hAnsi="Arial" w:cs="Arial"/>
                <w:sz w:val="22"/>
                <w:szCs w:val="22"/>
              </w:rPr>
            </w:pPr>
            <w:r w:rsidRPr="00332C19">
              <w:rPr>
                <w:rFonts w:ascii="Arial" w:hAnsi="Arial" w:cs="Arial"/>
                <w:sz w:val="22"/>
                <w:szCs w:val="22"/>
              </w:rPr>
              <w:t>Comme nous avons pu le lire dans la presse tout récemment</w:t>
            </w:r>
            <w:r w:rsidR="00AC128B" w:rsidRPr="00332C19">
              <w:rPr>
                <w:rFonts w:ascii="Arial" w:hAnsi="Arial" w:cs="Arial"/>
                <w:sz w:val="22"/>
                <w:szCs w:val="22"/>
              </w:rPr>
              <w:t xml:space="preserve">, Philip Morris </w:t>
            </w:r>
            <w:r w:rsidR="00332C19">
              <w:rPr>
                <w:rFonts w:ascii="Arial" w:hAnsi="Arial" w:cs="Arial"/>
                <w:sz w:val="22"/>
                <w:szCs w:val="22"/>
              </w:rPr>
              <w:t xml:space="preserve">(PMI) </w:t>
            </w:r>
            <w:r w:rsidR="00AC128B" w:rsidRPr="00332C19">
              <w:rPr>
                <w:rFonts w:ascii="Arial" w:hAnsi="Arial" w:cs="Arial"/>
                <w:sz w:val="22"/>
                <w:szCs w:val="22"/>
              </w:rPr>
              <w:t>a l’intention d’ouvrir un café a</w:t>
            </w:r>
            <w:r w:rsidRPr="00332C19">
              <w:rPr>
                <w:rFonts w:ascii="Arial" w:hAnsi="Arial" w:cs="Arial"/>
                <w:sz w:val="22"/>
                <w:szCs w:val="22"/>
              </w:rPr>
              <w:t>u Flon</w:t>
            </w:r>
            <w:r w:rsidR="00332C19">
              <w:rPr>
                <w:rFonts w:ascii="Arial" w:hAnsi="Arial" w:cs="Arial"/>
                <w:sz w:val="22"/>
                <w:szCs w:val="22"/>
              </w:rPr>
              <w:t xml:space="preserve"> à Lausanne</w:t>
            </w:r>
            <w:r w:rsidR="00AC128B" w:rsidRPr="00332C19">
              <w:rPr>
                <w:rFonts w:ascii="Arial" w:hAnsi="Arial" w:cs="Arial"/>
                <w:sz w:val="22"/>
                <w:szCs w:val="22"/>
              </w:rPr>
              <w:t xml:space="preserve">, lequel sera un </w:t>
            </w:r>
            <w:r w:rsidRPr="00332C19">
              <w:rPr>
                <w:rFonts w:ascii="Arial" w:hAnsi="Arial" w:cs="Arial"/>
                <w:sz w:val="22"/>
                <w:szCs w:val="22"/>
              </w:rPr>
              <w:t>« </w:t>
            </w:r>
            <w:proofErr w:type="spellStart"/>
            <w:r w:rsidR="00AC128B" w:rsidRPr="00332C19">
              <w:rPr>
                <w:rFonts w:ascii="Arial" w:hAnsi="Arial" w:cs="Arial"/>
                <w:sz w:val="22"/>
                <w:szCs w:val="22"/>
              </w:rPr>
              <w:t>flagship</w:t>
            </w:r>
            <w:proofErr w:type="spellEnd"/>
            <w:r w:rsidR="00AC128B" w:rsidRPr="00332C19">
              <w:rPr>
                <w:rFonts w:ascii="Arial" w:hAnsi="Arial" w:cs="Arial"/>
                <w:sz w:val="22"/>
                <w:szCs w:val="22"/>
              </w:rPr>
              <w:t xml:space="preserve"> store</w:t>
            </w:r>
            <w:r w:rsidRPr="00332C19">
              <w:rPr>
                <w:rFonts w:ascii="Arial" w:hAnsi="Arial" w:cs="Arial"/>
                <w:sz w:val="22"/>
                <w:szCs w:val="22"/>
              </w:rPr>
              <w:t> »</w:t>
            </w:r>
            <w:r w:rsidR="00AC128B" w:rsidRPr="00332C19">
              <w:rPr>
                <w:rFonts w:ascii="Arial" w:hAnsi="Arial" w:cs="Arial"/>
                <w:sz w:val="22"/>
                <w:szCs w:val="22"/>
              </w:rPr>
              <w:t xml:space="preserve"> </w:t>
            </w:r>
            <w:proofErr w:type="gramStart"/>
            <w:r w:rsidR="00AC128B" w:rsidRPr="00332C19">
              <w:rPr>
                <w:rFonts w:ascii="Arial" w:hAnsi="Arial" w:cs="Arial"/>
                <w:sz w:val="22"/>
                <w:szCs w:val="22"/>
              </w:rPr>
              <w:t>(</w:t>
            </w:r>
            <w:r w:rsidR="00332C19">
              <w:rPr>
                <w:rFonts w:ascii="Arial" w:hAnsi="Arial" w:cs="Arial"/>
                <w:sz w:val="22"/>
                <w:szCs w:val="22"/>
              </w:rPr>
              <w:t xml:space="preserve"> </w:t>
            </w:r>
            <w:r w:rsidR="00AC128B" w:rsidRPr="00332C19">
              <w:rPr>
                <w:rFonts w:ascii="Arial" w:hAnsi="Arial" w:cs="Arial"/>
                <w:sz w:val="22"/>
                <w:szCs w:val="22"/>
              </w:rPr>
              <w:t>=</w:t>
            </w:r>
            <w:proofErr w:type="gramEnd"/>
            <w:r w:rsidR="00332C19">
              <w:rPr>
                <w:rFonts w:ascii="Arial" w:hAnsi="Arial" w:cs="Arial"/>
                <w:sz w:val="22"/>
                <w:szCs w:val="22"/>
              </w:rPr>
              <w:t xml:space="preserve"> </w:t>
            </w:r>
            <w:r w:rsidR="00AC128B" w:rsidRPr="00332C19">
              <w:rPr>
                <w:rFonts w:ascii="Arial" w:hAnsi="Arial" w:cs="Arial"/>
                <w:sz w:val="22"/>
                <w:szCs w:val="22"/>
              </w:rPr>
              <w:t>vaisseau amiral) pour la commercialisation d</w:t>
            </w:r>
            <w:r w:rsidR="00854395">
              <w:rPr>
                <w:rFonts w:ascii="Arial" w:hAnsi="Arial" w:cs="Arial"/>
                <w:sz w:val="22"/>
                <w:szCs w:val="22"/>
              </w:rPr>
              <w:t>’un</w:t>
            </w:r>
            <w:r w:rsidR="00AC128B" w:rsidRPr="00332C19">
              <w:rPr>
                <w:rFonts w:ascii="Arial" w:hAnsi="Arial" w:cs="Arial"/>
                <w:sz w:val="22"/>
                <w:szCs w:val="22"/>
              </w:rPr>
              <w:t xml:space="preserve"> nouveau dispositif </w:t>
            </w:r>
            <w:r w:rsidR="00854395">
              <w:rPr>
                <w:rFonts w:ascii="Arial" w:hAnsi="Arial" w:cs="Arial"/>
                <w:sz w:val="22"/>
                <w:szCs w:val="22"/>
              </w:rPr>
              <w:t>pour fumer</w:t>
            </w:r>
            <w:r w:rsidR="00AC128B" w:rsidRPr="00332C19">
              <w:rPr>
                <w:rFonts w:ascii="Arial" w:hAnsi="Arial" w:cs="Arial"/>
                <w:sz w:val="22"/>
                <w:szCs w:val="22"/>
              </w:rPr>
              <w:t>. La mise à l’enquête est ouverte</w:t>
            </w:r>
            <w:r w:rsidRPr="00332C19">
              <w:rPr>
                <w:rFonts w:ascii="Arial" w:hAnsi="Arial" w:cs="Arial"/>
                <w:sz w:val="22"/>
                <w:szCs w:val="22"/>
              </w:rPr>
              <w:t xml:space="preserve"> </w:t>
            </w:r>
            <w:r w:rsidR="00AC128B" w:rsidRPr="00332C19">
              <w:rPr>
                <w:rFonts w:ascii="Arial" w:hAnsi="Arial" w:cs="Arial"/>
                <w:sz w:val="22"/>
                <w:szCs w:val="22"/>
              </w:rPr>
              <w:t xml:space="preserve">depuis le 23 septembre </w:t>
            </w:r>
            <w:r w:rsidRPr="00332C19">
              <w:rPr>
                <w:rFonts w:ascii="Arial" w:hAnsi="Arial" w:cs="Arial"/>
                <w:sz w:val="22"/>
                <w:szCs w:val="22"/>
              </w:rPr>
              <w:t xml:space="preserve">2016, </w:t>
            </w:r>
            <w:r w:rsidR="00AC128B" w:rsidRPr="00332C19">
              <w:rPr>
                <w:rFonts w:ascii="Arial" w:hAnsi="Arial" w:cs="Arial"/>
                <w:sz w:val="22"/>
                <w:szCs w:val="22"/>
              </w:rPr>
              <w:t xml:space="preserve">et pour </w:t>
            </w:r>
            <w:r w:rsidR="00332C19">
              <w:rPr>
                <w:rFonts w:ascii="Arial" w:hAnsi="Arial" w:cs="Arial"/>
                <w:sz w:val="22"/>
                <w:szCs w:val="22"/>
              </w:rPr>
              <w:t>un</w:t>
            </w:r>
            <w:r w:rsidR="00AC128B" w:rsidRPr="00332C19">
              <w:rPr>
                <w:rFonts w:ascii="Arial" w:hAnsi="Arial" w:cs="Arial"/>
                <w:sz w:val="22"/>
                <w:szCs w:val="22"/>
              </w:rPr>
              <w:t xml:space="preserve"> mois. </w:t>
            </w:r>
            <w:r w:rsidR="00332C19">
              <w:rPr>
                <w:rFonts w:ascii="Arial" w:hAnsi="Arial" w:cs="Arial"/>
                <w:sz w:val="22"/>
                <w:szCs w:val="22"/>
              </w:rPr>
              <w:t>N</w:t>
            </w:r>
            <w:r w:rsidRPr="00332C19">
              <w:rPr>
                <w:rFonts w:ascii="Arial" w:hAnsi="Arial" w:cs="Arial"/>
                <w:sz w:val="22"/>
                <w:szCs w:val="22"/>
              </w:rPr>
              <w:t>ous voyons dans</w:t>
            </w:r>
            <w:r w:rsidR="00AC128B" w:rsidRPr="00332C19">
              <w:rPr>
                <w:rFonts w:ascii="Arial" w:hAnsi="Arial" w:cs="Arial"/>
                <w:sz w:val="22"/>
                <w:szCs w:val="22"/>
              </w:rPr>
              <w:t xml:space="preserve"> ce projet plusieurs questions et réflexions</w:t>
            </w:r>
            <w:r w:rsidR="00332C19">
              <w:rPr>
                <w:rFonts w:ascii="Arial" w:hAnsi="Arial" w:cs="Arial"/>
                <w:sz w:val="22"/>
                <w:szCs w:val="22"/>
              </w:rPr>
              <w:t xml:space="preserve"> ouvertes ; c</w:t>
            </w:r>
            <w:r w:rsidR="00AC128B" w:rsidRPr="00332C19">
              <w:rPr>
                <w:rFonts w:ascii="Arial" w:hAnsi="Arial" w:cs="Arial"/>
                <w:sz w:val="22"/>
                <w:szCs w:val="22"/>
              </w:rPr>
              <w:t>es interrogations concernent à la fois les sphères scientifiques, administratives, politiques, éthiques</w:t>
            </w:r>
            <w:r w:rsidR="00332C19">
              <w:rPr>
                <w:rFonts w:ascii="Arial" w:hAnsi="Arial" w:cs="Arial"/>
                <w:sz w:val="22"/>
                <w:szCs w:val="22"/>
              </w:rPr>
              <w:t>.</w:t>
            </w:r>
          </w:p>
          <w:p w:rsidR="00AC128B" w:rsidRPr="00332C19" w:rsidRDefault="00AC128B" w:rsidP="00332C19">
            <w:pPr>
              <w:jc w:val="both"/>
              <w:rPr>
                <w:rFonts w:ascii="Arial" w:hAnsi="Arial" w:cs="Arial"/>
                <w:b/>
                <w:bCs/>
                <w:u w:val="single"/>
              </w:rPr>
            </w:pPr>
          </w:p>
          <w:p w:rsidR="00AC128B" w:rsidRPr="00332C19" w:rsidRDefault="00AC128B" w:rsidP="00332C19">
            <w:pPr>
              <w:pStyle w:val="Paragraphedeliste"/>
              <w:numPr>
                <w:ilvl w:val="0"/>
                <w:numId w:val="1"/>
              </w:numPr>
              <w:jc w:val="both"/>
              <w:rPr>
                <w:rFonts w:ascii="Arial" w:hAnsi="Arial" w:cs="Arial"/>
                <w:b/>
                <w:bCs/>
                <w:sz w:val="22"/>
                <w:szCs w:val="22"/>
              </w:rPr>
            </w:pPr>
            <w:r w:rsidRPr="00332C19">
              <w:rPr>
                <w:rFonts w:ascii="Arial" w:hAnsi="Arial" w:cs="Arial"/>
                <w:b/>
                <w:bCs/>
                <w:sz w:val="22"/>
                <w:szCs w:val="22"/>
              </w:rPr>
              <w:t>L’IQOS en bref :</w:t>
            </w:r>
          </w:p>
          <w:p w:rsidR="00AC128B" w:rsidRPr="00332C19" w:rsidRDefault="00AC128B" w:rsidP="00332C19">
            <w:pPr>
              <w:ind w:left="360"/>
              <w:jc w:val="both"/>
              <w:rPr>
                <w:rFonts w:ascii="Arial" w:hAnsi="Arial" w:cs="Arial"/>
                <w:sz w:val="22"/>
                <w:szCs w:val="22"/>
              </w:rPr>
            </w:pPr>
            <w:proofErr w:type="spellStart"/>
            <w:r w:rsidRPr="00332C19">
              <w:rPr>
                <w:rFonts w:ascii="Arial" w:hAnsi="Arial" w:cs="Arial"/>
                <w:sz w:val="22"/>
                <w:szCs w:val="22"/>
                <w:lang w:val="en-US"/>
              </w:rPr>
              <w:t>Cet</w:t>
            </w:r>
            <w:proofErr w:type="spellEnd"/>
            <w:r w:rsidRPr="00332C19">
              <w:rPr>
                <w:rFonts w:ascii="Arial" w:hAnsi="Arial" w:cs="Arial"/>
                <w:sz w:val="22"/>
                <w:szCs w:val="22"/>
                <w:lang w:val="en-US"/>
              </w:rPr>
              <w:t xml:space="preserve"> </w:t>
            </w:r>
            <w:proofErr w:type="spellStart"/>
            <w:r w:rsidRPr="00332C19">
              <w:rPr>
                <w:rFonts w:ascii="Arial" w:hAnsi="Arial" w:cs="Arial"/>
                <w:sz w:val="22"/>
                <w:szCs w:val="22"/>
                <w:lang w:val="en-US"/>
              </w:rPr>
              <w:t>acronyme</w:t>
            </w:r>
            <w:proofErr w:type="spellEnd"/>
            <w:r w:rsidRPr="00332C19">
              <w:rPr>
                <w:rFonts w:ascii="Arial" w:hAnsi="Arial" w:cs="Arial"/>
                <w:sz w:val="22"/>
                <w:szCs w:val="22"/>
                <w:lang w:val="en-US"/>
              </w:rPr>
              <w:t xml:space="preserve"> </w:t>
            </w:r>
            <w:proofErr w:type="spellStart"/>
            <w:r w:rsidRPr="00332C19">
              <w:rPr>
                <w:rFonts w:ascii="Arial" w:hAnsi="Arial" w:cs="Arial"/>
                <w:sz w:val="22"/>
                <w:szCs w:val="22"/>
                <w:lang w:val="en-US"/>
              </w:rPr>
              <w:t>signifie</w:t>
            </w:r>
            <w:proofErr w:type="spellEnd"/>
            <w:r w:rsidRPr="00332C19">
              <w:rPr>
                <w:rFonts w:ascii="Arial" w:hAnsi="Arial" w:cs="Arial"/>
                <w:sz w:val="22"/>
                <w:szCs w:val="22"/>
                <w:lang w:val="en-US"/>
              </w:rPr>
              <w:t xml:space="preserve"> « I Quit Ordinary Smoking ». </w:t>
            </w:r>
            <w:r w:rsidRPr="00332C19">
              <w:rPr>
                <w:rFonts w:ascii="Arial" w:hAnsi="Arial" w:cs="Arial"/>
                <w:sz w:val="22"/>
                <w:szCs w:val="22"/>
              </w:rPr>
              <w:t xml:space="preserve">Ce dispositif consiste à insérer des </w:t>
            </w:r>
            <w:r w:rsidRPr="00332C19">
              <w:rPr>
                <w:rFonts w:ascii="Arial" w:hAnsi="Arial" w:cs="Arial"/>
                <w:bCs/>
                <w:sz w:val="22"/>
                <w:szCs w:val="22"/>
              </w:rPr>
              <w:t>mini-cigarettes</w:t>
            </w:r>
            <w:r w:rsidRPr="00332C19">
              <w:rPr>
                <w:rFonts w:ascii="Arial" w:hAnsi="Arial" w:cs="Arial"/>
                <w:sz w:val="22"/>
                <w:szCs w:val="22"/>
              </w:rPr>
              <w:t xml:space="preserve"> (« </w:t>
            </w:r>
            <w:proofErr w:type="spellStart"/>
            <w:r w:rsidRPr="00332C19">
              <w:rPr>
                <w:rFonts w:ascii="Arial" w:hAnsi="Arial" w:cs="Arial"/>
                <w:sz w:val="22"/>
                <w:szCs w:val="22"/>
              </w:rPr>
              <w:t>heatsticks</w:t>
            </w:r>
            <w:proofErr w:type="spellEnd"/>
            <w:r w:rsidRPr="00332C19">
              <w:rPr>
                <w:rFonts w:ascii="Arial" w:hAnsi="Arial" w:cs="Arial"/>
                <w:sz w:val="22"/>
                <w:szCs w:val="22"/>
              </w:rPr>
              <w:t xml:space="preserve"> ») dans un appareil qui chauffe le tabac et libère une vapeur (ou autre ?). Ce nouveau produit diffuserait de la nicotine </w:t>
            </w:r>
            <w:r w:rsidRPr="00332C19">
              <w:rPr>
                <w:rFonts w:ascii="Arial" w:hAnsi="Arial" w:cs="Arial"/>
                <w:bCs/>
                <w:sz w:val="22"/>
                <w:szCs w:val="22"/>
              </w:rPr>
              <w:t>à priori sans combustion</w:t>
            </w:r>
            <w:r w:rsidRPr="00332C19">
              <w:rPr>
                <w:rFonts w:ascii="Arial" w:hAnsi="Arial" w:cs="Arial"/>
                <w:sz w:val="22"/>
                <w:szCs w:val="22"/>
              </w:rPr>
              <w:t xml:space="preserve"> et vise une certaine forme de réduction des risques. Il est commercialisé en Suisse depuis août 2015 et les études disponibles à ce jour sont surtout le fait des industriels et non des autorités sanitaires. </w:t>
            </w:r>
            <w:r w:rsidRPr="00332C19">
              <w:rPr>
                <w:rFonts w:ascii="Arial" w:hAnsi="Arial" w:cs="Arial"/>
                <w:bCs/>
                <w:sz w:val="22"/>
                <w:szCs w:val="22"/>
              </w:rPr>
              <w:t>De plus amples recherches sont donc nécessaires sur l’absence effective de combustion </w:t>
            </w:r>
            <w:r w:rsidR="000861B4">
              <w:rPr>
                <w:rFonts w:ascii="Arial" w:hAnsi="Arial" w:cs="Arial"/>
                <w:sz w:val="22"/>
                <w:szCs w:val="22"/>
              </w:rPr>
              <w:t xml:space="preserve">et </w:t>
            </w:r>
            <w:r w:rsidRPr="00332C19">
              <w:rPr>
                <w:rFonts w:ascii="Arial" w:hAnsi="Arial" w:cs="Arial"/>
                <w:sz w:val="22"/>
                <w:szCs w:val="22"/>
              </w:rPr>
              <w:t xml:space="preserve">cette potentielle nocivité réduite. </w:t>
            </w:r>
          </w:p>
          <w:p w:rsidR="00AC128B" w:rsidRPr="00332C19" w:rsidRDefault="00AC128B" w:rsidP="00332C19">
            <w:pPr>
              <w:pStyle w:val="Paragraphedeliste"/>
              <w:jc w:val="both"/>
              <w:rPr>
                <w:rFonts w:ascii="Arial" w:hAnsi="Arial" w:cs="Arial"/>
                <w:bCs/>
                <w:sz w:val="22"/>
                <w:szCs w:val="22"/>
              </w:rPr>
            </w:pPr>
          </w:p>
          <w:p w:rsidR="00AC128B" w:rsidRPr="00332C19" w:rsidRDefault="00AC128B" w:rsidP="00332C19">
            <w:pPr>
              <w:pStyle w:val="Paragraphedeliste"/>
              <w:numPr>
                <w:ilvl w:val="0"/>
                <w:numId w:val="1"/>
              </w:numPr>
              <w:jc w:val="both"/>
              <w:rPr>
                <w:rFonts w:ascii="Arial" w:hAnsi="Arial" w:cs="Arial"/>
                <w:b/>
                <w:bCs/>
                <w:sz w:val="22"/>
                <w:szCs w:val="22"/>
              </w:rPr>
            </w:pPr>
            <w:r w:rsidRPr="00332C19">
              <w:rPr>
                <w:rFonts w:ascii="Arial" w:hAnsi="Arial" w:cs="Arial"/>
                <w:b/>
                <w:bCs/>
                <w:sz w:val="22"/>
                <w:szCs w:val="22"/>
              </w:rPr>
              <w:t>Question administrative :</w:t>
            </w:r>
            <w:r w:rsidRPr="00332C19">
              <w:rPr>
                <w:rFonts w:ascii="Arial" w:hAnsi="Arial" w:cs="Arial"/>
                <w:sz w:val="22"/>
                <w:szCs w:val="22"/>
              </w:rPr>
              <w:t xml:space="preserve"> </w:t>
            </w:r>
          </w:p>
          <w:p w:rsidR="00AC128B" w:rsidRPr="00332C19" w:rsidRDefault="00AC128B" w:rsidP="00332C19">
            <w:pPr>
              <w:ind w:left="360"/>
              <w:jc w:val="both"/>
              <w:rPr>
                <w:rFonts w:ascii="Arial" w:hAnsi="Arial" w:cs="Arial"/>
                <w:bCs/>
                <w:sz w:val="22"/>
                <w:szCs w:val="22"/>
              </w:rPr>
            </w:pPr>
            <w:r w:rsidRPr="00332C19">
              <w:rPr>
                <w:rFonts w:ascii="Arial" w:hAnsi="Arial" w:cs="Arial"/>
                <w:sz w:val="22"/>
                <w:szCs w:val="22"/>
              </w:rPr>
              <w:t xml:space="preserve">Comme souligné dans le paragraphe précédent, la </w:t>
            </w:r>
            <w:r w:rsidRPr="00332C19">
              <w:rPr>
                <w:rFonts w:ascii="Arial" w:hAnsi="Arial" w:cs="Arial"/>
                <w:bCs/>
                <w:sz w:val="22"/>
                <w:szCs w:val="22"/>
              </w:rPr>
              <w:t>question de la nocivité/de l’innocuité de ce dispositif n’est à ce jour pas résolue</w:t>
            </w:r>
            <w:r w:rsidRPr="00332C19">
              <w:rPr>
                <w:rFonts w:ascii="Arial" w:hAnsi="Arial" w:cs="Arial"/>
                <w:sz w:val="22"/>
                <w:szCs w:val="22"/>
              </w:rPr>
              <w:t xml:space="preserve"> et il semble dès lors surprenant que PMI annonce de but en blanc que l’établissement sera « sans fumoir ». Les fumoirs sans service sont autorisés dans les établissements soumis à la loi sur les auberges et les débits de boissons, comme les restaurants, bar</w:t>
            </w:r>
            <w:r w:rsidR="000861B4">
              <w:rPr>
                <w:rFonts w:ascii="Arial" w:hAnsi="Arial" w:cs="Arial"/>
                <w:sz w:val="22"/>
                <w:szCs w:val="22"/>
              </w:rPr>
              <w:t>s</w:t>
            </w:r>
            <w:r w:rsidRPr="00332C19">
              <w:rPr>
                <w:rFonts w:ascii="Arial" w:hAnsi="Arial" w:cs="Arial"/>
                <w:sz w:val="22"/>
                <w:szCs w:val="22"/>
              </w:rPr>
              <w:t xml:space="preserve">, buvettes ou discothèques. Ils doivent pour cela suivre une </w:t>
            </w:r>
            <w:r w:rsidRPr="00332C19">
              <w:rPr>
                <w:rFonts w:ascii="Arial" w:hAnsi="Arial" w:cs="Arial"/>
                <w:bCs/>
                <w:sz w:val="22"/>
                <w:szCs w:val="22"/>
              </w:rPr>
              <w:t>procédure spéciale avec demande d’autorisation à la police du commerce.</w:t>
            </w:r>
          </w:p>
          <w:p w:rsidR="00AC128B" w:rsidRPr="00332C19" w:rsidRDefault="00AC128B" w:rsidP="00332C19">
            <w:pPr>
              <w:ind w:left="360"/>
              <w:jc w:val="both"/>
              <w:rPr>
                <w:rFonts w:ascii="Arial" w:hAnsi="Arial" w:cs="Arial"/>
                <w:b/>
                <w:bCs/>
                <w:sz w:val="22"/>
                <w:szCs w:val="22"/>
              </w:rPr>
            </w:pPr>
            <w:r w:rsidRPr="00332C19">
              <w:rPr>
                <w:rFonts w:ascii="Arial" w:hAnsi="Arial" w:cs="Arial"/>
                <w:sz w:val="22"/>
                <w:szCs w:val="22"/>
              </w:rPr>
              <w:t xml:space="preserve">Au sens de la loi vaudoise, le  fumoir est </w:t>
            </w:r>
            <w:r w:rsidRPr="00332C19">
              <w:rPr>
                <w:rFonts w:ascii="Arial" w:hAnsi="Arial" w:cs="Arial"/>
                <w:bCs/>
                <w:sz w:val="22"/>
                <w:szCs w:val="22"/>
              </w:rPr>
              <w:t>un local sans service, dédié exclusivement à la consommation de tabac</w:t>
            </w:r>
            <w:r w:rsidRPr="00332C19">
              <w:rPr>
                <w:rFonts w:ascii="Arial" w:hAnsi="Arial" w:cs="Arial"/>
                <w:sz w:val="22"/>
                <w:szCs w:val="22"/>
              </w:rPr>
              <w:t>. Sa création doit répondre à de nombreuses exigences, notamment en termes de ventilation et de prestations. La consommation d</w:t>
            </w:r>
            <w:r w:rsidR="00854395">
              <w:rPr>
                <w:rFonts w:ascii="Arial" w:hAnsi="Arial" w:cs="Arial"/>
                <w:sz w:val="22"/>
                <w:szCs w:val="22"/>
              </w:rPr>
              <w:t>e l’I</w:t>
            </w:r>
            <w:r w:rsidRPr="00332C19">
              <w:rPr>
                <w:rFonts w:ascii="Arial" w:hAnsi="Arial" w:cs="Arial"/>
                <w:sz w:val="22"/>
                <w:szCs w:val="22"/>
              </w:rPr>
              <w:t>QOS, un produit dit « à nocivité réduite », en d’autres termes nocif</w:t>
            </w:r>
            <w:r w:rsidRPr="00332C19">
              <w:rPr>
                <w:rFonts w:ascii="Arial" w:hAnsi="Arial" w:cs="Arial"/>
                <w:b/>
                <w:bCs/>
                <w:sz w:val="22"/>
                <w:szCs w:val="22"/>
              </w:rPr>
              <w:t xml:space="preserve">, </w:t>
            </w:r>
            <w:r w:rsidRPr="00332C19">
              <w:rPr>
                <w:rFonts w:ascii="Arial" w:hAnsi="Arial" w:cs="Arial"/>
                <w:sz w:val="22"/>
                <w:szCs w:val="22"/>
              </w:rPr>
              <w:t xml:space="preserve">ne devrait-elle pas se faire elle aussi dans un espace dédié, </w:t>
            </w:r>
            <w:r w:rsidRPr="00332C19">
              <w:rPr>
                <w:rFonts w:ascii="Arial" w:hAnsi="Arial" w:cs="Arial"/>
                <w:sz w:val="22"/>
                <w:szCs w:val="22"/>
              </w:rPr>
              <w:lastRenderedPageBreak/>
              <w:t>protégeant de ce fait les personnes alentours, que ce soit la clientèle ou encore le personnel de service?</w:t>
            </w:r>
            <w:r w:rsidRPr="00332C19">
              <w:rPr>
                <w:rFonts w:ascii="Arial" w:hAnsi="Arial" w:cs="Arial"/>
                <w:b/>
                <w:bCs/>
                <w:sz w:val="22"/>
                <w:szCs w:val="22"/>
              </w:rPr>
              <w:t xml:space="preserve"> </w:t>
            </w:r>
          </w:p>
          <w:p w:rsidR="00AC128B" w:rsidRPr="00332C19" w:rsidRDefault="00AC128B" w:rsidP="00332C19">
            <w:pPr>
              <w:ind w:left="360"/>
              <w:jc w:val="both"/>
              <w:rPr>
                <w:rFonts w:ascii="Arial" w:hAnsi="Arial" w:cs="Arial"/>
                <w:b/>
                <w:bCs/>
                <w:sz w:val="22"/>
                <w:szCs w:val="22"/>
              </w:rPr>
            </w:pPr>
          </w:p>
          <w:p w:rsidR="00AC128B" w:rsidRPr="0093604A" w:rsidRDefault="00AC128B" w:rsidP="00332C19">
            <w:pPr>
              <w:ind w:left="360"/>
              <w:jc w:val="both"/>
              <w:rPr>
                <w:rFonts w:ascii="Arial" w:hAnsi="Arial" w:cs="Arial"/>
                <w:sz w:val="22"/>
                <w:szCs w:val="22"/>
                <w:u w:val="single"/>
              </w:rPr>
            </w:pPr>
            <w:r w:rsidRPr="00332C19">
              <w:rPr>
                <w:rFonts w:ascii="Arial" w:hAnsi="Arial" w:cs="Arial"/>
                <w:sz w:val="22"/>
                <w:szCs w:val="22"/>
              </w:rPr>
              <w:t>Par ailleurs, il semble impossible, si ce dispositif </w:t>
            </w:r>
            <w:r w:rsidR="000861B4">
              <w:rPr>
                <w:rFonts w:ascii="Arial" w:hAnsi="Arial" w:cs="Arial"/>
                <w:sz w:val="22"/>
                <w:szCs w:val="22"/>
              </w:rPr>
              <w:t>devait être</w:t>
            </w:r>
            <w:r w:rsidRPr="00332C19">
              <w:rPr>
                <w:rFonts w:ascii="Arial" w:hAnsi="Arial" w:cs="Arial"/>
                <w:sz w:val="22"/>
                <w:szCs w:val="22"/>
              </w:rPr>
              <w:t xml:space="preserve"> toléré, </w:t>
            </w:r>
            <w:r w:rsidRPr="00332C19">
              <w:rPr>
                <w:rFonts w:ascii="Arial" w:hAnsi="Arial" w:cs="Arial"/>
                <w:bCs/>
                <w:sz w:val="22"/>
                <w:szCs w:val="22"/>
              </w:rPr>
              <w:t>de procéder à une application suffisante de la loi dans l’ensemble des établissements</w:t>
            </w:r>
            <w:r w:rsidRPr="00332C19">
              <w:rPr>
                <w:rFonts w:ascii="Arial" w:hAnsi="Arial" w:cs="Arial"/>
                <w:sz w:val="22"/>
                <w:szCs w:val="22"/>
              </w:rPr>
              <w:t xml:space="preserve">, puisqu’il sera de fait difficile de </w:t>
            </w:r>
            <w:r w:rsidRPr="0093604A">
              <w:rPr>
                <w:rFonts w:ascii="Arial" w:hAnsi="Arial" w:cs="Arial"/>
                <w:sz w:val="22"/>
                <w:szCs w:val="22"/>
              </w:rPr>
              <w:t>distinguer les différentes consommations.</w:t>
            </w:r>
          </w:p>
          <w:p w:rsidR="00AC128B" w:rsidRPr="0093604A" w:rsidRDefault="00AC128B" w:rsidP="00332C19">
            <w:pPr>
              <w:jc w:val="both"/>
              <w:rPr>
                <w:rFonts w:ascii="Arial" w:hAnsi="Arial" w:cs="Arial"/>
                <w:b/>
                <w:bCs/>
                <w:sz w:val="22"/>
                <w:szCs w:val="22"/>
              </w:rPr>
            </w:pPr>
          </w:p>
          <w:p w:rsidR="00AC128B" w:rsidRPr="0093604A" w:rsidRDefault="00AC128B" w:rsidP="00332C19">
            <w:pPr>
              <w:pStyle w:val="Paragraphedeliste"/>
              <w:numPr>
                <w:ilvl w:val="0"/>
                <w:numId w:val="1"/>
              </w:numPr>
              <w:jc w:val="both"/>
              <w:rPr>
                <w:rFonts w:ascii="Arial" w:hAnsi="Arial" w:cs="Arial"/>
                <w:b/>
                <w:bCs/>
                <w:sz w:val="22"/>
                <w:szCs w:val="22"/>
              </w:rPr>
            </w:pPr>
            <w:r w:rsidRPr="0093604A">
              <w:rPr>
                <w:rFonts w:ascii="Arial" w:hAnsi="Arial" w:cs="Arial"/>
                <w:b/>
                <w:bCs/>
                <w:sz w:val="22"/>
                <w:szCs w:val="22"/>
              </w:rPr>
              <w:t>Question politique :</w:t>
            </w:r>
          </w:p>
          <w:p w:rsidR="00AC128B" w:rsidRPr="0093604A" w:rsidRDefault="00AC128B" w:rsidP="00332C19">
            <w:pPr>
              <w:ind w:left="360"/>
              <w:jc w:val="both"/>
              <w:rPr>
                <w:rFonts w:ascii="Arial" w:hAnsi="Arial" w:cs="Arial"/>
                <w:sz w:val="22"/>
                <w:szCs w:val="22"/>
              </w:rPr>
            </w:pPr>
            <w:r w:rsidRPr="0093604A">
              <w:rPr>
                <w:rFonts w:ascii="Arial" w:hAnsi="Arial" w:cs="Arial"/>
                <w:sz w:val="22"/>
                <w:szCs w:val="22"/>
              </w:rPr>
              <w:t>Au sens littéral, étant donné que l’</w:t>
            </w:r>
            <w:r w:rsidR="00854395">
              <w:rPr>
                <w:rFonts w:ascii="Arial" w:hAnsi="Arial" w:cs="Arial"/>
                <w:sz w:val="22"/>
                <w:szCs w:val="22"/>
              </w:rPr>
              <w:t>I</w:t>
            </w:r>
            <w:r w:rsidRPr="0093604A">
              <w:rPr>
                <w:rFonts w:ascii="Arial" w:hAnsi="Arial" w:cs="Arial"/>
                <w:sz w:val="22"/>
                <w:szCs w:val="22"/>
              </w:rPr>
              <w:t>QOS chauffe</w:t>
            </w:r>
            <w:r w:rsidR="00B466FA" w:rsidRPr="0093604A">
              <w:rPr>
                <w:rFonts w:ascii="Arial" w:hAnsi="Arial" w:cs="Arial"/>
                <w:sz w:val="22"/>
                <w:szCs w:val="22"/>
              </w:rPr>
              <w:t>rait</w:t>
            </w:r>
            <w:r w:rsidRPr="0093604A">
              <w:rPr>
                <w:rFonts w:ascii="Arial" w:hAnsi="Arial" w:cs="Arial"/>
                <w:sz w:val="22"/>
                <w:szCs w:val="22"/>
              </w:rPr>
              <w:t xml:space="preserve"> le tabac et ne le brûle</w:t>
            </w:r>
            <w:r w:rsidR="00B466FA" w:rsidRPr="0093604A">
              <w:rPr>
                <w:rFonts w:ascii="Arial" w:hAnsi="Arial" w:cs="Arial"/>
                <w:sz w:val="22"/>
                <w:szCs w:val="22"/>
              </w:rPr>
              <w:t>rait</w:t>
            </w:r>
            <w:r w:rsidRPr="0093604A">
              <w:rPr>
                <w:rFonts w:ascii="Arial" w:hAnsi="Arial" w:cs="Arial"/>
                <w:sz w:val="22"/>
                <w:szCs w:val="22"/>
              </w:rPr>
              <w:t xml:space="preserve"> pas, </w:t>
            </w:r>
            <w:r w:rsidRPr="0093604A">
              <w:rPr>
                <w:rFonts w:ascii="Arial" w:hAnsi="Arial" w:cs="Arial"/>
                <w:bCs/>
                <w:sz w:val="22"/>
                <w:szCs w:val="22"/>
              </w:rPr>
              <w:t>ce nouveau produit ne tomberait pas sous le coup de la loi fédérale sur la protection contre le tabagisme passif ni sous celui de la loi vaudoise sur l’interdiction de fumer dans les lieux publics</w:t>
            </w:r>
            <w:r w:rsidR="00854395">
              <w:rPr>
                <w:rFonts w:ascii="Arial" w:hAnsi="Arial" w:cs="Arial"/>
                <w:bCs/>
                <w:sz w:val="22"/>
                <w:szCs w:val="22"/>
              </w:rPr>
              <w:t xml:space="preserve"> (LIPFL)</w:t>
            </w:r>
            <w:r w:rsidRPr="0093604A">
              <w:rPr>
                <w:rFonts w:ascii="Arial" w:hAnsi="Arial" w:cs="Arial"/>
                <w:sz w:val="22"/>
                <w:szCs w:val="22"/>
              </w:rPr>
              <w:t>,</w:t>
            </w:r>
            <w:r w:rsidR="00200276" w:rsidRPr="0093604A">
              <w:rPr>
                <w:rFonts w:ascii="Arial" w:hAnsi="Arial" w:cs="Arial"/>
                <w:sz w:val="22"/>
                <w:szCs w:val="22"/>
              </w:rPr>
              <w:t xml:space="preserve"> </w:t>
            </w:r>
            <w:r w:rsidRPr="0093604A">
              <w:rPr>
                <w:rFonts w:ascii="Arial" w:hAnsi="Arial" w:cs="Arial"/>
                <w:sz w:val="22"/>
                <w:szCs w:val="22"/>
              </w:rPr>
              <w:t>dont l'article 2 alinéa 2 se réfère à la notion de "brûler un produit dont on inhale la fumée</w:t>
            </w:r>
            <w:r w:rsidR="00222188" w:rsidRPr="0093604A">
              <w:rPr>
                <w:rFonts w:ascii="Arial" w:hAnsi="Arial" w:cs="Arial"/>
                <w:sz w:val="22"/>
                <w:szCs w:val="22"/>
              </w:rPr>
              <w:t> »</w:t>
            </w:r>
            <w:r w:rsidRPr="0093604A">
              <w:rPr>
                <w:rFonts w:ascii="Arial" w:hAnsi="Arial" w:cs="Arial"/>
                <w:sz w:val="22"/>
                <w:szCs w:val="22"/>
              </w:rPr>
              <w:t>. Dans ce contexte, il semblerait plus que souhaitable que le sens « téléologique » de la LIPFL soit questionné.</w:t>
            </w:r>
          </w:p>
          <w:p w:rsidR="00AC128B" w:rsidRPr="0093604A" w:rsidRDefault="00AC128B" w:rsidP="00332C19">
            <w:pPr>
              <w:ind w:left="360"/>
              <w:jc w:val="both"/>
              <w:rPr>
                <w:rFonts w:ascii="Arial" w:hAnsi="Arial" w:cs="Arial"/>
                <w:sz w:val="22"/>
                <w:szCs w:val="22"/>
              </w:rPr>
            </w:pPr>
            <w:r w:rsidRPr="0093604A">
              <w:rPr>
                <w:rFonts w:ascii="Arial" w:hAnsi="Arial" w:cs="Arial"/>
                <w:sz w:val="22"/>
                <w:szCs w:val="22"/>
              </w:rPr>
              <w:t>En soutien à ce questionnement et pour mémoire, la loi vaudoise a été plébiscitée en votation populaire en 2008 à près de 70%. Le bilan de la mise en œuvre de cette loi</w:t>
            </w:r>
            <w:r w:rsidR="00854395">
              <w:rPr>
                <w:rFonts w:ascii="Arial" w:hAnsi="Arial" w:cs="Arial"/>
                <w:sz w:val="22"/>
                <w:szCs w:val="22"/>
              </w:rPr>
              <w:t>,</w:t>
            </w:r>
            <w:r w:rsidRPr="0093604A">
              <w:rPr>
                <w:rFonts w:ascii="Arial" w:hAnsi="Arial" w:cs="Arial"/>
                <w:sz w:val="22"/>
                <w:szCs w:val="22"/>
              </w:rPr>
              <w:t xml:space="preserve"> réalisé par M.I.S Trend en 2010</w:t>
            </w:r>
            <w:r w:rsidR="00854395">
              <w:rPr>
                <w:rFonts w:ascii="Arial" w:hAnsi="Arial" w:cs="Arial"/>
                <w:sz w:val="22"/>
                <w:szCs w:val="22"/>
              </w:rPr>
              <w:t>,</w:t>
            </w:r>
            <w:r w:rsidRPr="0093604A">
              <w:rPr>
                <w:rFonts w:ascii="Arial" w:hAnsi="Arial" w:cs="Arial"/>
                <w:sz w:val="22"/>
                <w:szCs w:val="22"/>
              </w:rPr>
              <w:t xml:space="preserve"> a clairement démontré </w:t>
            </w:r>
            <w:hyperlink r:id="rId9" w:history="1">
              <w:r w:rsidRPr="0093604A">
                <w:rPr>
                  <w:rStyle w:val="Lienhypertexte"/>
                  <w:rFonts w:ascii="Arial" w:hAnsi="Arial" w:cs="Arial"/>
                  <w:color w:val="auto"/>
                  <w:sz w:val="22"/>
                  <w:szCs w:val="22"/>
                  <w:u w:val="none"/>
                </w:rPr>
                <w:t>que les Vaudois étaient globalement satisfaits (84%) de l’interdiction de fumer dans les lieux publics, avec une satisfaction de 64% chez les fumeurs également</w:t>
              </w:r>
            </w:hyperlink>
            <w:r w:rsidRPr="0093604A">
              <w:rPr>
                <w:rFonts w:ascii="Arial" w:hAnsi="Arial" w:cs="Arial"/>
                <w:sz w:val="22"/>
                <w:szCs w:val="22"/>
              </w:rPr>
              <w:t xml:space="preserve">. </w:t>
            </w:r>
          </w:p>
          <w:p w:rsidR="00AC128B" w:rsidRPr="0093604A" w:rsidRDefault="00AC128B" w:rsidP="000861B4">
            <w:pPr>
              <w:ind w:left="360"/>
              <w:jc w:val="both"/>
              <w:rPr>
                <w:rFonts w:ascii="Arial" w:hAnsi="Arial" w:cs="Arial"/>
                <w:sz w:val="22"/>
                <w:szCs w:val="22"/>
              </w:rPr>
            </w:pPr>
            <w:r w:rsidRPr="0093604A">
              <w:rPr>
                <w:rFonts w:ascii="Arial" w:hAnsi="Arial" w:cs="Arial"/>
                <w:sz w:val="22"/>
                <w:szCs w:val="22"/>
              </w:rPr>
              <w:t>En instaurant en 2009 la loi sur l’interdiction de fumer dans les lieux publics, le Canton de Vaud a clairement démontré sa volonté de mettre en place des dispositions plus strictes que la loi fédérale sur la protection contre le tabagisme passif (entrée en vigueur ultérieurement) dans le but de protéger sa population. En particulier, le Canton de Vaud interdit que les établissements de restauration soient fumeurs, et ce indépendamment de leur superficie (alors que les restaurants de moins de 80</w:t>
            </w:r>
            <w:r w:rsidR="00854395">
              <w:rPr>
                <w:rFonts w:ascii="Arial" w:hAnsi="Arial" w:cs="Arial"/>
                <w:sz w:val="22"/>
                <w:szCs w:val="22"/>
              </w:rPr>
              <w:t xml:space="preserve"> </w:t>
            </w:r>
            <w:r w:rsidRPr="0093604A">
              <w:rPr>
                <w:rFonts w:ascii="Arial" w:hAnsi="Arial" w:cs="Arial"/>
                <w:sz w:val="22"/>
                <w:szCs w:val="22"/>
              </w:rPr>
              <w:t xml:space="preserve">m2 peuvent être exploités comme établissements fumeurs selon la loi fédérale). </w:t>
            </w:r>
          </w:p>
          <w:p w:rsidR="00AC128B" w:rsidRPr="0093604A" w:rsidRDefault="00AC128B" w:rsidP="00332C19">
            <w:pPr>
              <w:ind w:left="360"/>
              <w:jc w:val="both"/>
              <w:rPr>
                <w:rFonts w:ascii="Arial" w:hAnsi="Arial" w:cs="Arial"/>
                <w:sz w:val="22"/>
                <w:szCs w:val="22"/>
              </w:rPr>
            </w:pPr>
          </w:p>
          <w:p w:rsidR="00AC128B" w:rsidRPr="0093604A" w:rsidRDefault="00AC128B" w:rsidP="00332C19">
            <w:pPr>
              <w:pStyle w:val="Paragraphedeliste"/>
              <w:numPr>
                <w:ilvl w:val="0"/>
                <w:numId w:val="1"/>
              </w:numPr>
              <w:jc w:val="both"/>
              <w:rPr>
                <w:rFonts w:ascii="Arial" w:hAnsi="Arial" w:cs="Arial"/>
                <w:b/>
                <w:bCs/>
                <w:sz w:val="22"/>
                <w:szCs w:val="22"/>
              </w:rPr>
            </w:pPr>
            <w:r w:rsidRPr="0093604A">
              <w:rPr>
                <w:rFonts w:ascii="Arial" w:hAnsi="Arial" w:cs="Arial"/>
                <w:b/>
                <w:bCs/>
                <w:sz w:val="22"/>
                <w:szCs w:val="22"/>
              </w:rPr>
              <w:t>Question éthique :</w:t>
            </w:r>
          </w:p>
          <w:p w:rsidR="000861B4" w:rsidRPr="0093604A" w:rsidRDefault="00AC128B" w:rsidP="00332C19">
            <w:pPr>
              <w:ind w:left="360"/>
              <w:jc w:val="both"/>
              <w:rPr>
                <w:rFonts w:ascii="Arial" w:hAnsi="Arial" w:cs="Arial"/>
                <w:sz w:val="22"/>
                <w:szCs w:val="22"/>
              </w:rPr>
            </w:pPr>
            <w:r w:rsidRPr="0093604A">
              <w:rPr>
                <w:rFonts w:ascii="Arial" w:hAnsi="Arial" w:cs="Arial"/>
                <w:sz w:val="22"/>
                <w:szCs w:val="22"/>
              </w:rPr>
              <w:t xml:space="preserve">En plus d’une éventuelle brèche dans la </w:t>
            </w:r>
            <w:r w:rsidR="00854395">
              <w:rPr>
                <w:rFonts w:ascii="Arial" w:hAnsi="Arial" w:cs="Arial"/>
                <w:sz w:val="22"/>
                <w:szCs w:val="22"/>
              </w:rPr>
              <w:t>loi</w:t>
            </w:r>
            <w:r w:rsidRPr="0093604A">
              <w:rPr>
                <w:rFonts w:ascii="Arial" w:hAnsi="Arial" w:cs="Arial"/>
                <w:sz w:val="22"/>
                <w:szCs w:val="22"/>
              </w:rPr>
              <w:t xml:space="preserve">, l’ouverture d’un tel établissement pose une question fondamentale sur l’engagement </w:t>
            </w:r>
            <w:r w:rsidR="00200276" w:rsidRPr="0093604A">
              <w:rPr>
                <w:rFonts w:ascii="Arial" w:hAnsi="Arial" w:cs="Arial"/>
                <w:sz w:val="22"/>
                <w:szCs w:val="22"/>
              </w:rPr>
              <w:t xml:space="preserve">politique </w:t>
            </w:r>
            <w:r w:rsidRPr="0093604A">
              <w:rPr>
                <w:rFonts w:ascii="Arial" w:hAnsi="Arial" w:cs="Arial"/>
                <w:sz w:val="22"/>
                <w:szCs w:val="22"/>
              </w:rPr>
              <w:t xml:space="preserve">pour </w:t>
            </w:r>
            <w:r w:rsidRPr="0093604A">
              <w:rPr>
                <w:rFonts w:ascii="Arial" w:hAnsi="Arial" w:cs="Arial"/>
                <w:bCs/>
                <w:sz w:val="22"/>
                <w:szCs w:val="22"/>
              </w:rPr>
              <w:t>la protection de la jeunesse et la santé publique</w:t>
            </w:r>
            <w:r w:rsidRPr="0093604A">
              <w:rPr>
                <w:rFonts w:ascii="Arial" w:hAnsi="Arial" w:cs="Arial"/>
                <w:sz w:val="22"/>
                <w:szCs w:val="22"/>
              </w:rPr>
              <w:t>.</w:t>
            </w:r>
            <w:r w:rsidR="00200276" w:rsidRPr="0093604A">
              <w:rPr>
                <w:rFonts w:ascii="Arial" w:hAnsi="Arial" w:cs="Arial"/>
                <w:sz w:val="22"/>
                <w:szCs w:val="22"/>
              </w:rPr>
              <w:t xml:space="preserve"> </w:t>
            </w:r>
            <w:r w:rsidRPr="0093604A">
              <w:rPr>
                <w:rFonts w:ascii="Arial" w:hAnsi="Arial" w:cs="Arial"/>
                <w:sz w:val="22"/>
                <w:szCs w:val="22"/>
              </w:rPr>
              <w:t xml:space="preserve">Quand bien même l’accès à cet établissement </w:t>
            </w:r>
            <w:r w:rsidR="000861B4" w:rsidRPr="0093604A">
              <w:rPr>
                <w:rFonts w:ascii="Arial" w:hAnsi="Arial" w:cs="Arial"/>
                <w:sz w:val="22"/>
                <w:szCs w:val="22"/>
              </w:rPr>
              <w:t>sera</w:t>
            </w:r>
            <w:r w:rsidRPr="0093604A">
              <w:rPr>
                <w:rFonts w:ascii="Arial" w:hAnsi="Arial" w:cs="Arial"/>
                <w:sz w:val="22"/>
                <w:szCs w:val="22"/>
              </w:rPr>
              <w:t xml:space="preserve"> interdit aux mineurs, une interdiction auprès des jeunes</w:t>
            </w:r>
            <w:r w:rsidR="000861B4" w:rsidRPr="0093604A">
              <w:rPr>
                <w:rFonts w:ascii="Arial" w:hAnsi="Arial" w:cs="Arial"/>
                <w:sz w:val="22"/>
                <w:szCs w:val="22"/>
              </w:rPr>
              <w:t xml:space="preserve"> peut provoquer un effet retors</w:t>
            </w:r>
            <w:r w:rsidRPr="0093604A">
              <w:rPr>
                <w:rFonts w:ascii="Arial" w:hAnsi="Arial" w:cs="Arial"/>
                <w:sz w:val="22"/>
                <w:szCs w:val="22"/>
              </w:rPr>
              <w:t>. Compte tenu de ces éléments et dans une perspective de protection de la jeunesse, le principe de précaution ne devrait-il pas prévaloir ?</w:t>
            </w:r>
          </w:p>
          <w:p w:rsidR="00AC128B" w:rsidRPr="0093604A" w:rsidRDefault="00AC128B" w:rsidP="00332C19">
            <w:pPr>
              <w:ind w:left="360"/>
              <w:jc w:val="both"/>
              <w:rPr>
                <w:rFonts w:ascii="Arial" w:hAnsi="Arial" w:cs="Arial"/>
                <w:sz w:val="22"/>
                <w:szCs w:val="22"/>
              </w:rPr>
            </w:pPr>
            <w:r w:rsidRPr="0093604A">
              <w:rPr>
                <w:rFonts w:ascii="Arial" w:hAnsi="Arial" w:cs="Arial"/>
                <w:sz w:val="22"/>
                <w:szCs w:val="22"/>
              </w:rPr>
              <w:t xml:space="preserve"> </w:t>
            </w:r>
          </w:p>
          <w:p w:rsidR="00AC128B" w:rsidRPr="0093604A" w:rsidRDefault="000861B4" w:rsidP="00332C19">
            <w:pPr>
              <w:ind w:left="360"/>
              <w:jc w:val="both"/>
              <w:rPr>
                <w:rFonts w:ascii="Arial" w:hAnsi="Arial" w:cs="Arial"/>
                <w:sz w:val="22"/>
                <w:szCs w:val="22"/>
              </w:rPr>
            </w:pPr>
            <w:r w:rsidRPr="0093604A">
              <w:rPr>
                <w:rFonts w:ascii="Arial" w:hAnsi="Arial" w:cs="Arial"/>
                <w:sz w:val="22"/>
                <w:szCs w:val="22"/>
              </w:rPr>
              <w:t>En effet</w:t>
            </w:r>
            <w:r w:rsidR="00AC128B" w:rsidRPr="0093604A">
              <w:rPr>
                <w:rFonts w:ascii="Arial" w:hAnsi="Arial" w:cs="Arial"/>
                <w:sz w:val="22"/>
                <w:szCs w:val="22"/>
              </w:rPr>
              <w:t>, l’accessibilité et la visibilité des produits du tabac sont des leviers essentiels en terme</w:t>
            </w:r>
            <w:r w:rsidR="00332C19" w:rsidRPr="0093604A">
              <w:rPr>
                <w:rFonts w:ascii="Arial" w:hAnsi="Arial" w:cs="Arial"/>
                <w:sz w:val="22"/>
                <w:szCs w:val="22"/>
              </w:rPr>
              <w:t>s</w:t>
            </w:r>
            <w:r w:rsidR="00AC128B" w:rsidRPr="0093604A">
              <w:rPr>
                <w:rFonts w:ascii="Arial" w:hAnsi="Arial" w:cs="Arial"/>
                <w:sz w:val="22"/>
                <w:szCs w:val="22"/>
              </w:rPr>
              <w:t xml:space="preserve"> de publicité et ont un effet démontré sur la consommation. Dans ce sens</w:t>
            </w:r>
            <w:r w:rsidR="00332C19" w:rsidRPr="0093604A">
              <w:rPr>
                <w:rFonts w:ascii="Arial" w:hAnsi="Arial" w:cs="Arial"/>
                <w:sz w:val="22"/>
                <w:szCs w:val="22"/>
              </w:rPr>
              <w:t>,</w:t>
            </w:r>
            <w:r w:rsidR="00AC128B" w:rsidRPr="0093604A">
              <w:rPr>
                <w:rFonts w:ascii="Arial" w:hAnsi="Arial" w:cs="Arial"/>
                <w:sz w:val="22"/>
                <w:szCs w:val="22"/>
              </w:rPr>
              <w:t xml:space="preserve"> la loi vaudoise sur les procédés de réclame interdit la publicité pour les produits du tabac visible du domaine publi</w:t>
            </w:r>
            <w:r w:rsidR="00332C19" w:rsidRPr="0093604A">
              <w:rPr>
                <w:rFonts w:ascii="Arial" w:hAnsi="Arial" w:cs="Arial"/>
                <w:sz w:val="22"/>
                <w:szCs w:val="22"/>
              </w:rPr>
              <w:t>c. I</w:t>
            </w:r>
            <w:r w:rsidR="00AC128B" w:rsidRPr="0093604A">
              <w:rPr>
                <w:rFonts w:ascii="Arial" w:hAnsi="Arial" w:cs="Arial"/>
                <w:sz w:val="22"/>
                <w:szCs w:val="22"/>
              </w:rPr>
              <w:t xml:space="preserve">l semble </w:t>
            </w:r>
            <w:r w:rsidR="00332C19" w:rsidRPr="0093604A">
              <w:rPr>
                <w:rFonts w:ascii="Arial" w:hAnsi="Arial" w:cs="Arial"/>
                <w:sz w:val="22"/>
                <w:szCs w:val="22"/>
              </w:rPr>
              <w:t xml:space="preserve">donc </w:t>
            </w:r>
            <w:r w:rsidR="00AC128B" w:rsidRPr="0093604A">
              <w:rPr>
                <w:rFonts w:ascii="Arial" w:hAnsi="Arial" w:cs="Arial"/>
                <w:sz w:val="22"/>
                <w:szCs w:val="22"/>
              </w:rPr>
              <w:t>que ce nouvel établissement contrib</w:t>
            </w:r>
            <w:r w:rsidR="00332C19" w:rsidRPr="0093604A">
              <w:rPr>
                <w:rFonts w:ascii="Arial" w:hAnsi="Arial" w:cs="Arial"/>
                <w:sz w:val="22"/>
                <w:szCs w:val="22"/>
              </w:rPr>
              <w:t xml:space="preserve">uera à </w:t>
            </w:r>
            <w:r w:rsidRPr="0093604A">
              <w:rPr>
                <w:rFonts w:ascii="Arial" w:hAnsi="Arial" w:cs="Arial"/>
                <w:sz w:val="22"/>
                <w:szCs w:val="22"/>
              </w:rPr>
              <w:t>cette visibilité :</w:t>
            </w:r>
            <w:r w:rsidR="00332C19" w:rsidRPr="0093604A">
              <w:rPr>
                <w:rFonts w:ascii="Arial" w:hAnsi="Arial" w:cs="Arial"/>
                <w:sz w:val="22"/>
                <w:szCs w:val="22"/>
              </w:rPr>
              <w:t xml:space="preserve"> o</w:t>
            </w:r>
            <w:r w:rsidR="00AC128B" w:rsidRPr="0093604A">
              <w:rPr>
                <w:rFonts w:ascii="Arial" w:hAnsi="Arial" w:cs="Arial"/>
                <w:sz w:val="22"/>
                <w:szCs w:val="22"/>
              </w:rPr>
              <w:t>uvrir un « vaisseau amiral »  en pleine zone branchée de Lausanne semble donc contraire aux efforts de protection de la jeunesse.</w:t>
            </w:r>
          </w:p>
          <w:p w:rsidR="00273D4C" w:rsidRPr="0093604A" w:rsidRDefault="00273D4C" w:rsidP="00332C19">
            <w:pPr>
              <w:tabs>
                <w:tab w:val="left" w:pos="851"/>
                <w:tab w:val="center" w:pos="6521"/>
              </w:tabs>
              <w:jc w:val="both"/>
              <w:rPr>
                <w:rFonts w:ascii="Arial" w:hAnsi="Arial" w:cs="Arial"/>
                <w:iCs/>
                <w:sz w:val="22"/>
                <w:szCs w:val="22"/>
              </w:rPr>
            </w:pPr>
          </w:p>
          <w:p w:rsidR="00200276" w:rsidRPr="0093604A" w:rsidRDefault="00200276" w:rsidP="00332C19">
            <w:pPr>
              <w:tabs>
                <w:tab w:val="left" w:pos="851"/>
                <w:tab w:val="center" w:pos="6521"/>
              </w:tabs>
              <w:jc w:val="both"/>
              <w:rPr>
                <w:rFonts w:ascii="Arial" w:hAnsi="Arial" w:cs="Arial"/>
                <w:iCs/>
                <w:sz w:val="22"/>
                <w:szCs w:val="22"/>
              </w:rPr>
            </w:pPr>
            <w:r w:rsidRPr="0093604A">
              <w:rPr>
                <w:rFonts w:ascii="Arial" w:hAnsi="Arial" w:cs="Arial"/>
                <w:iCs/>
                <w:sz w:val="22"/>
                <w:szCs w:val="22"/>
              </w:rPr>
              <w:t>Nous avons ainsi l’honneur de résumer nos questions à l’attention du Conseil d’Etat comme suit :</w:t>
            </w:r>
          </w:p>
          <w:p w:rsidR="00200276" w:rsidRPr="0093604A" w:rsidRDefault="00200276" w:rsidP="00332C19">
            <w:pPr>
              <w:tabs>
                <w:tab w:val="left" w:pos="851"/>
                <w:tab w:val="center" w:pos="6521"/>
              </w:tabs>
              <w:jc w:val="both"/>
              <w:rPr>
                <w:rFonts w:ascii="Arial" w:hAnsi="Arial" w:cs="Arial"/>
                <w:iCs/>
                <w:sz w:val="22"/>
                <w:szCs w:val="22"/>
              </w:rPr>
            </w:pPr>
          </w:p>
          <w:p w:rsidR="00273D4C" w:rsidRPr="0093604A" w:rsidRDefault="00200276" w:rsidP="00332C19">
            <w:pPr>
              <w:pStyle w:val="Paragraphedeliste"/>
              <w:numPr>
                <w:ilvl w:val="0"/>
                <w:numId w:val="2"/>
              </w:numPr>
              <w:tabs>
                <w:tab w:val="left" w:pos="851"/>
                <w:tab w:val="center" w:pos="6521"/>
              </w:tabs>
              <w:jc w:val="both"/>
              <w:rPr>
                <w:rFonts w:ascii="Arial" w:hAnsi="Arial" w:cs="Arial"/>
                <w:iCs/>
                <w:sz w:val="22"/>
                <w:szCs w:val="22"/>
              </w:rPr>
            </w:pPr>
            <w:r w:rsidRPr="0093604A">
              <w:rPr>
                <w:rFonts w:ascii="Arial" w:hAnsi="Arial" w:cs="Arial"/>
                <w:iCs/>
                <w:sz w:val="22"/>
                <w:szCs w:val="22"/>
              </w:rPr>
              <w:t>Où en sont les recherches</w:t>
            </w:r>
            <w:r w:rsidR="00222188" w:rsidRPr="0093604A">
              <w:rPr>
                <w:rFonts w:ascii="Arial" w:hAnsi="Arial" w:cs="Arial"/>
                <w:iCs/>
                <w:sz w:val="22"/>
                <w:szCs w:val="22"/>
              </w:rPr>
              <w:t xml:space="preserve"> des autorités sanitaires quant aux effets potentiellement nocifs du dispositif IQOS, soit les effets d’un tabac chauffé, plutôt que brûlé ?</w:t>
            </w:r>
            <w:r w:rsidR="00854395">
              <w:rPr>
                <w:rFonts w:ascii="Arial" w:hAnsi="Arial" w:cs="Arial"/>
                <w:iCs/>
                <w:sz w:val="22"/>
                <w:szCs w:val="22"/>
              </w:rPr>
              <w:t xml:space="preserve"> Le dispositif I</w:t>
            </w:r>
            <w:r w:rsidR="00B466FA" w:rsidRPr="0093604A">
              <w:rPr>
                <w:rFonts w:ascii="Arial" w:hAnsi="Arial" w:cs="Arial"/>
                <w:iCs/>
                <w:sz w:val="22"/>
                <w:szCs w:val="22"/>
              </w:rPr>
              <w:t>QO</w:t>
            </w:r>
            <w:r w:rsidR="00854395">
              <w:rPr>
                <w:rFonts w:ascii="Arial" w:hAnsi="Arial" w:cs="Arial"/>
                <w:iCs/>
                <w:sz w:val="22"/>
                <w:szCs w:val="22"/>
              </w:rPr>
              <w:t>S</w:t>
            </w:r>
            <w:r w:rsidR="00B466FA" w:rsidRPr="0093604A">
              <w:rPr>
                <w:rFonts w:ascii="Arial" w:hAnsi="Arial" w:cs="Arial"/>
                <w:iCs/>
                <w:sz w:val="22"/>
                <w:szCs w:val="22"/>
              </w:rPr>
              <w:t xml:space="preserve"> peut-il être véritablement considéré comme chauffé ?</w:t>
            </w:r>
          </w:p>
          <w:p w:rsidR="00222188" w:rsidRPr="0093604A" w:rsidRDefault="00222188" w:rsidP="00332C19">
            <w:pPr>
              <w:pStyle w:val="Paragraphedeliste"/>
              <w:numPr>
                <w:ilvl w:val="0"/>
                <w:numId w:val="2"/>
              </w:numPr>
              <w:tabs>
                <w:tab w:val="left" w:pos="851"/>
                <w:tab w:val="center" w:pos="6521"/>
              </w:tabs>
              <w:jc w:val="both"/>
              <w:rPr>
                <w:rFonts w:ascii="Arial" w:hAnsi="Arial" w:cs="Arial"/>
                <w:b/>
                <w:bCs/>
                <w:sz w:val="22"/>
                <w:szCs w:val="22"/>
              </w:rPr>
            </w:pPr>
            <w:r w:rsidRPr="0093604A">
              <w:rPr>
                <w:rFonts w:ascii="Arial" w:hAnsi="Arial" w:cs="Arial"/>
                <w:sz w:val="22"/>
                <w:szCs w:val="22"/>
              </w:rPr>
              <w:t>La consommation de l’</w:t>
            </w:r>
            <w:r w:rsidR="00854395">
              <w:rPr>
                <w:rFonts w:ascii="Arial" w:hAnsi="Arial" w:cs="Arial"/>
                <w:sz w:val="22"/>
                <w:szCs w:val="22"/>
              </w:rPr>
              <w:t>I</w:t>
            </w:r>
            <w:r w:rsidRPr="0093604A">
              <w:rPr>
                <w:rFonts w:ascii="Arial" w:hAnsi="Arial" w:cs="Arial"/>
                <w:sz w:val="22"/>
                <w:szCs w:val="22"/>
              </w:rPr>
              <w:t>QOS, un produit dit « à nocivité réduite », en d’autres termes nocif</w:t>
            </w:r>
            <w:r w:rsidRPr="0093604A">
              <w:rPr>
                <w:rFonts w:ascii="Arial" w:hAnsi="Arial" w:cs="Arial"/>
                <w:b/>
                <w:bCs/>
                <w:sz w:val="22"/>
                <w:szCs w:val="22"/>
              </w:rPr>
              <w:t xml:space="preserve">, </w:t>
            </w:r>
            <w:r w:rsidRPr="0093604A">
              <w:rPr>
                <w:rFonts w:ascii="Arial" w:hAnsi="Arial" w:cs="Arial"/>
                <w:sz w:val="22"/>
                <w:szCs w:val="22"/>
              </w:rPr>
              <w:t>ne devrait-elle pas se faire elle aussi dans un espace dédié, protégeant de ce fait les personnes alentours, que ce soit la clientèle ou encore le personnel de service?</w:t>
            </w:r>
            <w:r w:rsidRPr="0093604A">
              <w:rPr>
                <w:rFonts w:ascii="Arial" w:hAnsi="Arial" w:cs="Arial"/>
                <w:b/>
                <w:bCs/>
                <w:sz w:val="22"/>
                <w:szCs w:val="22"/>
              </w:rPr>
              <w:t xml:space="preserve"> </w:t>
            </w:r>
          </w:p>
          <w:p w:rsidR="00222188" w:rsidRPr="0093604A" w:rsidRDefault="00222188" w:rsidP="00332C19">
            <w:pPr>
              <w:pStyle w:val="Paragraphedeliste"/>
              <w:numPr>
                <w:ilvl w:val="0"/>
                <w:numId w:val="2"/>
              </w:numPr>
              <w:jc w:val="both"/>
              <w:rPr>
                <w:rFonts w:ascii="Arial" w:hAnsi="Arial" w:cs="Arial"/>
                <w:sz w:val="22"/>
                <w:szCs w:val="22"/>
                <w:u w:val="single"/>
              </w:rPr>
            </w:pPr>
            <w:r w:rsidRPr="0093604A">
              <w:rPr>
                <w:rFonts w:ascii="Arial" w:hAnsi="Arial" w:cs="Arial"/>
                <w:sz w:val="22"/>
                <w:szCs w:val="22"/>
              </w:rPr>
              <w:t xml:space="preserve">Par ailleurs, si ce dispositif  devait être toléré, </w:t>
            </w:r>
            <w:r w:rsidRPr="0093604A">
              <w:rPr>
                <w:rFonts w:ascii="Arial" w:hAnsi="Arial" w:cs="Arial"/>
                <w:bCs/>
                <w:sz w:val="22"/>
                <w:szCs w:val="22"/>
              </w:rPr>
              <w:t xml:space="preserve">comment le Conseil d’Etat </w:t>
            </w:r>
            <w:proofErr w:type="spellStart"/>
            <w:r w:rsidRPr="0093604A">
              <w:rPr>
                <w:rFonts w:ascii="Arial" w:hAnsi="Arial" w:cs="Arial"/>
                <w:bCs/>
                <w:sz w:val="22"/>
                <w:szCs w:val="22"/>
              </w:rPr>
              <w:t>prévoit-il</w:t>
            </w:r>
            <w:proofErr w:type="spellEnd"/>
            <w:r w:rsidRPr="0093604A">
              <w:rPr>
                <w:rFonts w:ascii="Arial" w:hAnsi="Arial" w:cs="Arial"/>
                <w:bCs/>
                <w:sz w:val="22"/>
                <w:szCs w:val="22"/>
              </w:rPr>
              <w:t xml:space="preserve"> de procéder à une application de la loi dans l’ensemble des établissements</w:t>
            </w:r>
            <w:r w:rsidRPr="0093604A">
              <w:rPr>
                <w:rFonts w:ascii="Arial" w:hAnsi="Arial" w:cs="Arial"/>
                <w:sz w:val="22"/>
                <w:szCs w:val="22"/>
              </w:rPr>
              <w:t>, puisqu’il sera de fait difficile de distinguer les différentes consommations </w:t>
            </w:r>
            <w:r w:rsidR="000861B4" w:rsidRPr="0093604A">
              <w:rPr>
                <w:rFonts w:ascii="Arial" w:hAnsi="Arial" w:cs="Arial"/>
                <w:sz w:val="22"/>
                <w:szCs w:val="22"/>
              </w:rPr>
              <w:t>de tabac</w:t>
            </w:r>
            <w:r w:rsidRPr="0093604A">
              <w:rPr>
                <w:rFonts w:ascii="Arial" w:hAnsi="Arial" w:cs="Arial"/>
                <w:sz w:val="22"/>
                <w:szCs w:val="22"/>
              </w:rPr>
              <w:t>?</w:t>
            </w:r>
          </w:p>
          <w:p w:rsidR="00222188" w:rsidRPr="00332C19" w:rsidRDefault="00222188" w:rsidP="00332C19">
            <w:pPr>
              <w:pStyle w:val="Paragraphedeliste"/>
              <w:numPr>
                <w:ilvl w:val="0"/>
                <w:numId w:val="2"/>
              </w:numPr>
              <w:jc w:val="both"/>
              <w:rPr>
                <w:rFonts w:ascii="Arial" w:hAnsi="Arial" w:cs="Arial"/>
                <w:sz w:val="22"/>
                <w:szCs w:val="22"/>
              </w:rPr>
            </w:pPr>
            <w:r w:rsidRPr="0093604A">
              <w:rPr>
                <w:rFonts w:ascii="Arial" w:hAnsi="Arial" w:cs="Arial"/>
                <w:sz w:val="22"/>
                <w:szCs w:val="22"/>
              </w:rPr>
              <w:t xml:space="preserve">Au sens littéral, </w:t>
            </w:r>
            <w:r w:rsidR="00B466FA" w:rsidRPr="0093604A">
              <w:rPr>
                <w:rFonts w:ascii="Arial" w:hAnsi="Arial" w:cs="Arial"/>
                <w:sz w:val="22"/>
                <w:szCs w:val="22"/>
              </w:rPr>
              <w:t>et pour autant qu</w:t>
            </w:r>
            <w:r w:rsidRPr="0093604A">
              <w:rPr>
                <w:rFonts w:ascii="Arial" w:hAnsi="Arial" w:cs="Arial"/>
                <w:sz w:val="22"/>
                <w:szCs w:val="22"/>
              </w:rPr>
              <w:t>e l’</w:t>
            </w:r>
            <w:r w:rsidR="00854395">
              <w:rPr>
                <w:rFonts w:ascii="Arial" w:hAnsi="Arial" w:cs="Arial"/>
                <w:sz w:val="22"/>
                <w:szCs w:val="22"/>
              </w:rPr>
              <w:t>I</w:t>
            </w:r>
            <w:r w:rsidRPr="0093604A">
              <w:rPr>
                <w:rFonts w:ascii="Arial" w:hAnsi="Arial" w:cs="Arial"/>
                <w:sz w:val="22"/>
                <w:szCs w:val="22"/>
              </w:rPr>
              <w:t xml:space="preserve">QOS chauffe le tabac et ne le brûle pas, </w:t>
            </w:r>
            <w:r w:rsidRPr="0093604A">
              <w:rPr>
                <w:rFonts w:ascii="Arial" w:hAnsi="Arial" w:cs="Arial"/>
                <w:bCs/>
                <w:sz w:val="22"/>
                <w:szCs w:val="22"/>
              </w:rPr>
              <w:t>ce nouveau produit ne tomberait pas sous le coup de la loi fédérale sur la protection contre le tabagisme passif ni sous celui de la loi vaudoise sur l’interdiction de fumer dans les lieux publics</w:t>
            </w:r>
            <w:r w:rsidR="00B466FA" w:rsidRPr="0093604A">
              <w:rPr>
                <w:rFonts w:ascii="Arial" w:hAnsi="Arial" w:cs="Arial"/>
                <w:sz w:val="22"/>
                <w:szCs w:val="22"/>
              </w:rPr>
              <w:t>. Dans ce cas, l</w:t>
            </w:r>
            <w:r w:rsidRPr="0093604A">
              <w:rPr>
                <w:rFonts w:ascii="Arial" w:hAnsi="Arial" w:cs="Arial"/>
                <w:sz w:val="22"/>
                <w:szCs w:val="22"/>
              </w:rPr>
              <w:t xml:space="preserve">e Conseil d’Etat </w:t>
            </w:r>
            <w:proofErr w:type="spellStart"/>
            <w:r w:rsidRPr="0093604A">
              <w:rPr>
                <w:rFonts w:ascii="Arial" w:hAnsi="Arial" w:cs="Arial"/>
                <w:sz w:val="22"/>
                <w:szCs w:val="22"/>
              </w:rPr>
              <w:t>prévoit-il</w:t>
            </w:r>
            <w:proofErr w:type="spellEnd"/>
            <w:r w:rsidRPr="0093604A">
              <w:rPr>
                <w:rFonts w:ascii="Arial" w:hAnsi="Arial" w:cs="Arial"/>
                <w:sz w:val="22"/>
                <w:szCs w:val="22"/>
              </w:rPr>
              <w:t xml:space="preserve"> de</w:t>
            </w:r>
            <w:r w:rsidRPr="00332C19">
              <w:rPr>
                <w:rFonts w:ascii="Arial" w:hAnsi="Arial" w:cs="Arial"/>
                <w:sz w:val="22"/>
                <w:szCs w:val="22"/>
              </w:rPr>
              <w:t xml:space="preserve"> préciser l’article 2 alinéa 2 de la LIPFL afin de refléter la volonté du législateur, soit protéger le public contre tout contact avec une substance dangereuse en suspension</w:t>
            </w:r>
            <w:r w:rsidR="000861B4">
              <w:rPr>
                <w:rFonts w:ascii="Arial" w:hAnsi="Arial" w:cs="Arial"/>
                <w:sz w:val="22"/>
                <w:szCs w:val="22"/>
              </w:rPr>
              <w:t>, q</w:t>
            </w:r>
            <w:r w:rsidRPr="00332C19">
              <w:rPr>
                <w:rFonts w:ascii="Arial" w:hAnsi="Arial" w:cs="Arial"/>
                <w:sz w:val="22"/>
                <w:szCs w:val="22"/>
              </w:rPr>
              <w:t>u’il s’agisse de fumée ou de vapeur ?</w:t>
            </w:r>
          </w:p>
          <w:p w:rsidR="00332C19" w:rsidRDefault="00332C19" w:rsidP="00332C19">
            <w:pPr>
              <w:pStyle w:val="Paragraphedeliste"/>
              <w:numPr>
                <w:ilvl w:val="0"/>
                <w:numId w:val="2"/>
              </w:numPr>
              <w:jc w:val="both"/>
              <w:rPr>
                <w:rFonts w:ascii="Arial" w:hAnsi="Arial" w:cs="Arial"/>
                <w:sz w:val="22"/>
                <w:szCs w:val="22"/>
              </w:rPr>
            </w:pPr>
            <w:r w:rsidRPr="00332C19">
              <w:rPr>
                <w:rFonts w:ascii="Arial" w:hAnsi="Arial" w:cs="Arial"/>
                <w:sz w:val="22"/>
                <w:szCs w:val="22"/>
              </w:rPr>
              <w:lastRenderedPageBreak/>
              <w:t xml:space="preserve">En plus d’une éventuelle brèche dans la </w:t>
            </w:r>
            <w:r w:rsidR="00854395">
              <w:rPr>
                <w:rFonts w:ascii="Arial" w:hAnsi="Arial" w:cs="Arial"/>
                <w:sz w:val="22"/>
                <w:szCs w:val="22"/>
              </w:rPr>
              <w:t>loi</w:t>
            </w:r>
            <w:r w:rsidRPr="00332C19">
              <w:rPr>
                <w:rFonts w:ascii="Arial" w:hAnsi="Arial" w:cs="Arial"/>
                <w:sz w:val="22"/>
                <w:szCs w:val="22"/>
              </w:rPr>
              <w:t xml:space="preserve">, l’ouverture d’un tel établissement pose une question fondamentale sur l’engagement politique pour </w:t>
            </w:r>
            <w:r w:rsidRPr="00332C19">
              <w:rPr>
                <w:rFonts w:ascii="Arial" w:hAnsi="Arial" w:cs="Arial"/>
                <w:bCs/>
                <w:sz w:val="22"/>
                <w:szCs w:val="22"/>
              </w:rPr>
              <w:t>la protection de la jeunesse et la santé publique</w:t>
            </w:r>
            <w:r w:rsidRPr="00332C19">
              <w:rPr>
                <w:rFonts w:ascii="Arial" w:hAnsi="Arial" w:cs="Arial"/>
                <w:sz w:val="22"/>
                <w:szCs w:val="22"/>
              </w:rPr>
              <w:t>. Quand bien même l’accès à cet établissement est interdit aux mineurs, nous soulignons l’effet retors que peut provoquer une interdiction auprès des jeunes</w:t>
            </w:r>
            <w:r w:rsidR="00712447">
              <w:rPr>
                <w:rFonts w:ascii="Arial" w:hAnsi="Arial" w:cs="Arial"/>
                <w:sz w:val="22"/>
                <w:szCs w:val="22"/>
              </w:rPr>
              <w:t xml:space="preserve"> ; de même que son effet </w:t>
            </w:r>
            <w:r w:rsidR="00C570F9">
              <w:rPr>
                <w:rFonts w:ascii="Arial" w:hAnsi="Arial" w:cs="Arial"/>
                <w:sz w:val="22"/>
                <w:szCs w:val="22"/>
              </w:rPr>
              <w:t xml:space="preserve">de </w:t>
            </w:r>
            <w:r w:rsidR="00712447">
              <w:rPr>
                <w:rFonts w:ascii="Arial" w:hAnsi="Arial" w:cs="Arial"/>
                <w:sz w:val="22"/>
                <w:szCs w:val="22"/>
              </w:rPr>
              <w:t>vitrine publicitaire sur l’espace public</w:t>
            </w:r>
            <w:r w:rsidRPr="00332C19">
              <w:rPr>
                <w:rFonts w:ascii="Arial" w:hAnsi="Arial" w:cs="Arial"/>
                <w:sz w:val="22"/>
                <w:szCs w:val="22"/>
              </w:rPr>
              <w:t>. Compte tenu de ces éléments</w:t>
            </w:r>
            <w:r w:rsidR="00C570F9">
              <w:rPr>
                <w:rFonts w:ascii="Arial" w:hAnsi="Arial" w:cs="Arial"/>
                <w:sz w:val="22"/>
                <w:szCs w:val="22"/>
              </w:rPr>
              <w:t>,</w:t>
            </w:r>
            <w:r w:rsidRPr="00332C19">
              <w:rPr>
                <w:rFonts w:ascii="Arial" w:hAnsi="Arial" w:cs="Arial"/>
                <w:sz w:val="22"/>
                <w:szCs w:val="22"/>
              </w:rPr>
              <w:t xml:space="preserve"> et dans une perspective de protection de la jeunesse, le principe de précaution ne devrait-il pas prévaloir ? </w:t>
            </w:r>
          </w:p>
          <w:p w:rsidR="00854395" w:rsidRPr="00332C19" w:rsidRDefault="00854395" w:rsidP="00332C19">
            <w:pPr>
              <w:pStyle w:val="Paragraphedeliste"/>
              <w:numPr>
                <w:ilvl w:val="0"/>
                <w:numId w:val="2"/>
              </w:numPr>
              <w:jc w:val="both"/>
              <w:rPr>
                <w:rFonts w:ascii="Arial" w:hAnsi="Arial" w:cs="Arial"/>
                <w:sz w:val="22"/>
                <w:szCs w:val="22"/>
              </w:rPr>
            </w:pPr>
            <w:r>
              <w:rPr>
                <w:rFonts w:ascii="Arial" w:hAnsi="Arial" w:cs="Arial"/>
                <w:sz w:val="22"/>
                <w:szCs w:val="22"/>
              </w:rPr>
              <w:t xml:space="preserve">Plus généralement, comment le Conseil d’Etat apprécie-t-il la stratégie de PMI, et probablement d’autres </w:t>
            </w:r>
            <w:proofErr w:type="spellStart"/>
            <w:r>
              <w:rPr>
                <w:rFonts w:ascii="Arial" w:hAnsi="Arial" w:cs="Arial"/>
                <w:sz w:val="22"/>
                <w:szCs w:val="22"/>
              </w:rPr>
              <w:t>cigarettiers</w:t>
            </w:r>
            <w:proofErr w:type="spellEnd"/>
            <w:r>
              <w:rPr>
                <w:rFonts w:ascii="Arial" w:hAnsi="Arial" w:cs="Arial"/>
                <w:sz w:val="22"/>
                <w:szCs w:val="22"/>
              </w:rPr>
              <w:t> </w:t>
            </w:r>
            <w:r w:rsidR="00123BF8">
              <w:rPr>
                <w:rFonts w:ascii="Arial" w:hAnsi="Arial" w:cs="Arial"/>
                <w:sz w:val="22"/>
                <w:szCs w:val="22"/>
              </w:rPr>
              <w:t xml:space="preserve">dans le proche futur, </w:t>
            </w:r>
            <w:bookmarkStart w:id="0" w:name="_GoBack"/>
            <w:bookmarkEnd w:id="0"/>
            <w:r>
              <w:rPr>
                <w:rFonts w:ascii="Arial" w:hAnsi="Arial" w:cs="Arial"/>
                <w:sz w:val="22"/>
                <w:szCs w:val="22"/>
              </w:rPr>
              <w:t>en ce qui concerne ces nouveaux produits pour fumer : stratégie organisée de recrutement de nouveaux clients, en particulier les jeunes, et/ou stratégie de substitution d’un modèle d’affaires vers un autre (substitution progressive des cigarettes « classiques » vers des produits moins nocifs) ?</w:t>
            </w:r>
          </w:p>
          <w:p w:rsidR="00222188" w:rsidRPr="00332C19" w:rsidRDefault="00222188" w:rsidP="00332C19">
            <w:pPr>
              <w:pStyle w:val="Paragraphedeliste"/>
              <w:tabs>
                <w:tab w:val="left" w:pos="851"/>
                <w:tab w:val="center" w:pos="6521"/>
              </w:tabs>
              <w:jc w:val="both"/>
              <w:rPr>
                <w:rFonts w:ascii="Arial" w:hAnsi="Arial" w:cs="Arial"/>
                <w:iCs/>
                <w:sz w:val="22"/>
                <w:szCs w:val="22"/>
              </w:rPr>
            </w:pPr>
          </w:p>
          <w:p w:rsidR="00332C19" w:rsidRPr="00332C19" w:rsidRDefault="00332C19" w:rsidP="00332C19">
            <w:pPr>
              <w:tabs>
                <w:tab w:val="left" w:pos="851"/>
                <w:tab w:val="center" w:pos="6521"/>
              </w:tabs>
              <w:jc w:val="both"/>
              <w:rPr>
                <w:rFonts w:ascii="Arial" w:hAnsi="Arial" w:cs="Arial"/>
                <w:iCs/>
                <w:sz w:val="22"/>
                <w:szCs w:val="22"/>
              </w:rPr>
            </w:pPr>
            <w:r w:rsidRPr="00332C19">
              <w:rPr>
                <w:rFonts w:ascii="Arial" w:hAnsi="Arial" w:cs="Arial"/>
                <w:iCs/>
                <w:sz w:val="22"/>
                <w:szCs w:val="22"/>
              </w:rPr>
              <w:t>Nous remercions</w:t>
            </w:r>
            <w:r w:rsidR="00712447">
              <w:rPr>
                <w:rFonts w:ascii="Arial" w:hAnsi="Arial" w:cs="Arial"/>
                <w:iCs/>
                <w:sz w:val="22"/>
                <w:szCs w:val="22"/>
              </w:rPr>
              <w:t xml:space="preserve"> par avance</w:t>
            </w:r>
            <w:r w:rsidRPr="00332C19">
              <w:rPr>
                <w:rFonts w:ascii="Arial" w:hAnsi="Arial" w:cs="Arial"/>
                <w:iCs/>
                <w:sz w:val="22"/>
                <w:szCs w:val="22"/>
              </w:rPr>
              <w:t xml:space="preserve"> le Conseil d’Etat pour ses réponses.</w:t>
            </w:r>
          </w:p>
          <w:p w:rsidR="00273D4C" w:rsidRPr="00332C19" w:rsidRDefault="00273D4C" w:rsidP="00332C19">
            <w:pPr>
              <w:tabs>
                <w:tab w:val="left" w:pos="851"/>
                <w:tab w:val="center" w:pos="6521"/>
              </w:tabs>
              <w:jc w:val="both"/>
              <w:rPr>
                <w:rFonts w:ascii="Arial" w:hAnsi="Arial" w:cs="Arial"/>
                <w:iCs/>
                <w:sz w:val="22"/>
                <w:szCs w:val="22"/>
                <w:lang w:val="fr-FR"/>
              </w:rPr>
            </w:pPr>
          </w:p>
          <w:p w:rsidR="00273D4C" w:rsidRPr="00273D4C" w:rsidRDefault="00273D4C" w:rsidP="00273D4C">
            <w:pPr>
              <w:tabs>
                <w:tab w:val="left" w:pos="851"/>
                <w:tab w:val="center" w:pos="6521"/>
              </w:tabs>
              <w:jc w:val="both"/>
              <w:rPr>
                <w:rFonts w:ascii="Arial" w:hAnsi="Arial"/>
                <w:iCs/>
                <w:sz w:val="22"/>
                <w:szCs w:val="22"/>
                <w:lang w:val="fr-FR"/>
              </w:rPr>
            </w:pPr>
          </w:p>
        </w:tc>
      </w:tr>
      <w:tr w:rsidR="00222188" w:rsidRPr="00273D4C" w:rsidTr="00AC128B">
        <w:trPr>
          <w:trHeight w:val="412"/>
        </w:trPr>
        <w:tc>
          <w:tcPr>
            <w:tcW w:w="10009" w:type="dxa"/>
            <w:shd w:val="clear" w:color="auto" w:fill="auto"/>
          </w:tcPr>
          <w:p w:rsidR="00222188" w:rsidRPr="00273D4C" w:rsidRDefault="00222188" w:rsidP="00273D4C">
            <w:pPr>
              <w:tabs>
                <w:tab w:val="left" w:pos="851"/>
                <w:tab w:val="center" w:pos="6521"/>
              </w:tabs>
              <w:jc w:val="both"/>
              <w:rPr>
                <w:rFonts w:ascii="Arial" w:hAnsi="Arial"/>
                <w:iCs/>
                <w:sz w:val="22"/>
                <w:szCs w:val="22"/>
                <w:u w:val="single"/>
                <w:lang w:val="fr-FR"/>
              </w:rPr>
            </w:pPr>
          </w:p>
        </w:tc>
      </w:tr>
    </w:tbl>
    <w:p w:rsidR="00273D4C" w:rsidRPr="00273D4C" w:rsidRDefault="00273D4C" w:rsidP="00273D4C">
      <w:pPr>
        <w:tabs>
          <w:tab w:val="left" w:pos="851"/>
          <w:tab w:val="center" w:pos="6521"/>
        </w:tabs>
        <w:jc w:val="both"/>
        <w:rPr>
          <w:rFonts w:ascii="Arial" w:hAnsi="Arial"/>
          <w:i/>
          <w:sz w:val="22"/>
          <w:szCs w:val="20"/>
          <w:lang w:val="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273D4C" w:rsidRPr="00273D4C" w:rsidTr="00AC128B">
        <w:trPr>
          <w:trHeight w:val="400"/>
        </w:trPr>
        <w:tc>
          <w:tcPr>
            <w:tcW w:w="9955" w:type="dxa"/>
            <w:shd w:val="clear" w:color="auto" w:fill="auto"/>
          </w:tcPr>
          <w:p w:rsidR="00273D4C" w:rsidRPr="00273D4C" w:rsidRDefault="00273D4C" w:rsidP="00273D4C">
            <w:pPr>
              <w:tabs>
                <w:tab w:val="left" w:pos="851"/>
                <w:tab w:val="center" w:pos="6521"/>
              </w:tabs>
              <w:jc w:val="both"/>
              <w:rPr>
                <w:rFonts w:ascii="Arial" w:hAnsi="Arial"/>
                <w:iCs/>
                <w:sz w:val="22"/>
                <w:szCs w:val="20"/>
                <w:u w:val="single"/>
                <w:lang w:val="fr-FR"/>
              </w:rPr>
            </w:pPr>
            <w:r w:rsidRPr="00273D4C">
              <w:rPr>
                <w:rFonts w:ascii="Arial" w:hAnsi="Arial"/>
                <w:iCs/>
                <w:sz w:val="22"/>
                <w:szCs w:val="20"/>
                <w:u w:val="single"/>
                <w:lang w:val="fr-FR"/>
              </w:rPr>
              <w:t>Commentaire(s)</w:t>
            </w:r>
          </w:p>
          <w:p w:rsidR="00273D4C" w:rsidRPr="00273D4C" w:rsidRDefault="00273D4C" w:rsidP="00273D4C">
            <w:pPr>
              <w:tabs>
                <w:tab w:val="left" w:pos="851"/>
                <w:tab w:val="center" w:pos="6521"/>
              </w:tabs>
              <w:jc w:val="both"/>
              <w:rPr>
                <w:rFonts w:ascii="Arial" w:hAnsi="Arial"/>
                <w:iCs/>
                <w:sz w:val="22"/>
                <w:szCs w:val="20"/>
                <w:lang w:val="fr-FR"/>
              </w:rPr>
            </w:pPr>
          </w:p>
          <w:p w:rsidR="00273D4C" w:rsidRPr="00273D4C" w:rsidRDefault="00273D4C" w:rsidP="00273D4C">
            <w:pPr>
              <w:tabs>
                <w:tab w:val="left" w:pos="851"/>
                <w:tab w:val="center" w:pos="6521"/>
              </w:tabs>
              <w:jc w:val="both"/>
              <w:rPr>
                <w:rFonts w:ascii="Arial" w:hAnsi="Arial"/>
                <w:iCs/>
                <w:sz w:val="22"/>
                <w:szCs w:val="20"/>
                <w:lang w:val="fr-FR"/>
              </w:rPr>
            </w:pPr>
          </w:p>
        </w:tc>
      </w:tr>
    </w:tbl>
    <w:p w:rsidR="00273D4C" w:rsidRPr="00273D4C" w:rsidRDefault="00273D4C" w:rsidP="00273D4C">
      <w:pPr>
        <w:tabs>
          <w:tab w:val="left" w:pos="851"/>
          <w:tab w:val="center" w:pos="6521"/>
        </w:tabs>
        <w:jc w:val="both"/>
        <w:rPr>
          <w:rFonts w:ascii="Arial" w:hAnsi="Arial"/>
          <w:i/>
          <w:sz w:val="22"/>
          <w:szCs w:val="20"/>
          <w:lang w:val="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273D4C" w:rsidRPr="00273D4C" w:rsidTr="00AC128B">
        <w:trPr>
          <w:trHeight w:val="839"/>
        </w:trPr>
        <w:tc>
          <w:tcPr>
            <w:tcW w:w="9955" w:type="dxa"/>
            <w:shd w:val="clear" w:color="auto" w:fill="auto"/>
          </w:tcPr>
          <w:p w:rsidR="00273D4C" w:rsidRPr="00273D4C" w:rsidRDefault="00273D4C" w:rsidP="00273D4C">
            <w:pPr>
              <w:tabs>
                <w:tab w:val="left" w:pos="851"/>
                <w:tab w:val="center" w:pos="6521"/>
              </w:tabs>
              <w:rPr>
                <w:rFonts w:ascii="Arial" w:hAnsi="Arial"/>
                <w:iCs/>
                <w:sz w:val="22"/>
                <w:szCs w:val="22"/>
                <w:lang w:val="fr-FR"/>
              </w:rPr>
            </w:pPr>
            <w:r w:rsidRPr="00273D4C">
              <w:rPr>
                <w:rFonts w:ascii="Arial" w:hAnsi="Arial"/>
                <w:iCs/>
                <w:sz w:val="22"/>
                <w:szCs w:val="22"/>
                <w:u w:val="single"/>
                <w:lang w:val="fr-FR"/>
              </w:rPr>
              <w:t>Conclusions </w:t>
            </w:r>
          </w:p>
          <w:p w:rsidR="00273D4C" w:rsidRPr="00273D4C" w:rsidRDefault="00273D4C" w:rsidP="00273D4C">
            <w:pPr>
              <w:tabs>
                <w:tab w:val="left" w:pos="851"/>
                <w:tab w:val="left" w:pos="4485"/>
                <w:tab w:val="center" w:pos="6521"/>
              </w:tabs>
              <w:rPr>
                <w:rFonts w:ascii="Arial" w:hAnsi="Arial"/>
                <w:iCs/>
                <w:sz w:val="22"/>
                <w:szCs w:val="22"/>
                <w:lang w:val="fr-FR"/>
              </w:rPr>
            </w:pPr>
            <w:r w:rsidRPr="00273D4C">
              <w:rPr>
                <w:rFonts w:ascii="Arial" w:hAnsi="Arial"/>
                <w:iCs/>
                <w:position w:val="18"/>
                <w:sz w:val="22"/>
                <w:szCs w:val="22"/>
                <w:lang w:val="fr-FR"/>
              </w:rPr>
              <w:t xml:space="preserve">Souhaite développer            </w:t>
            </w:r>
            <w:r w:rsidRPr="00273D4C">
              <w:rPr>
                <w:rFonts w:ascii="Arial" w:hAnsi="Arial"/>
                <w:iCs/>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3pt;height:27.1pt" o:ole="">
                  <v:imagedata r:id="rId10" o:title=""/>
                </v:shape>
                <w:control r:id="rId11" w:name="Chkbox1" w:shapeid="_x0000_i1029"/>
              </w:object>
            </w:r>
            <w:r w:rsidRPr="00273D4C">
              <w:rPr>
                <w:rFonts w:ascii="Arial" w:hAnsi="Arial"/>
                <w:iCs/>
                <w:position w:val="18"/>
                <w:sz w:val="22"/>
                <w:szCs w:val="22"/>
                <w:lang w:val="fr-FR"/>
              </w:rPr>
              <w:t xml:space="preserve">                      Ne souhaite pas développer                   </w:t>
            </w:r>
            <w:r w:rsidRPr="00273D4C">
              <w:rPr>
                <w:rFonts w:ascii="Arial" w:hAnsi="Arial"/>
                <w:iCs/>
                <w:lang w:val="fr-FR"/>
              </w:rPr>
              <w:object w:dxaOrig="225" w:dyaOrig="225">
                <v:shape id="_x0000_i1031" type="#_x0000_t75" style="width:24.3pt;height:27.1pt" o:ole="">
                  <v:imagedata r:id="rId12" o:title=""/>
                </v:shape>
                <w:control r:id="rId13" w:name="Chkbox2" w:shapeid="_x0000_i1031"/>
              </w:object>
            </w:r>
            <w:r w:rsidRPr="00273D4C">
              <w:rPr>
                <w:rFonts w:ascii="Arial" w:hAnsi="Arial"/>
                <w:iCs/>
                <w:sz w:val="22"/>
                <w:szCs w:val="22"/>
                <w:lang w:val="fr-FR"/>
              </w:rPr>
              <w:t xml:space="preserve"> </w:t>
            </w:r>
            <w:r w:rsidRPr="00273D4C">
              <w:rPr>
                <w:rFonts w:ascii="Arial" w:hAnsi="Arial"/>
                <w:iCs/>
                <w:position w:val="18"/>
                <w:sz w:val="22"/>
                <w:szCs w:val="22"/>
                <w:lang w:val="fr-FR"/>
              </w:rPr>
              <w:t xml:space="preserve">  </w:t>
            </w:r>
          </w:p>
        </w:tc>
      </w:tr>
    </w:tbl>
    <w:p w:rsidR="00273D4C" w:rsidRPr="00273D4C" w:rsidRDefault="00273D4C" w:rsidP="00273D4C">
      <w:pPr>
        <w:tabs>
          <w:tab w:val="left" w:pos="851"/>
          <w:tab w:val="center" w:pos="6521"/>
        </w:tabs>
        <w:jc w:val="both"/>
        <w:rPr>
          <w:rFonts w:ascii="Arial" w:hAnsi="Arial"/>
          <w:i/>
          <w:sz w:val="22"/>
          <w:szCs w:val="20"/>
          <w:lang w:val="fr-FR"/>
        </w:rPr>
      </w:pPr>
    </w:p>
    <w:tbl>
      <w:tblPr>
        <w:tblW w:w="0" w:type="auto"/>
        <w:tblInd w:w="-1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55"/>
      </w:tblGrid>
      <w:tr w:rsidR="00273D4C" w:rsidRPr="00273D4C" w:rsidTr="00AC128B">
        <w:trPr>
          <w:trHeight w:val="1291"/>
        </w:trPr>
        <w:tc>
          <w:tcPr>
            <w:tcW w:w="9955" w:type="dxa"/>
            <w:shd w:val="clear" w:color="auto" w:fill="auto"/>
          </w:tcPr>
          <w:p w:rsidR="00273D4C" w:rsidRPr="00273D4C" w:rsidRDefault="00273D4C" w:rsidP="00273D4C">
            <w:pPr>
              <w:tabs>
                <w:tab w:val="left" w:pos="5936"/>
                <w:tab w:val="left" w:pos="6521"/>
              </w:tabs>
              <w:jc w:val="both"/>
              <w:rPr>
                <w:rFonts w:ascii="Arial" w:hAnsi="Arial"/>
                <w:iCs/>
                <w:sz w:val="22"/>
                <w:szCs w:val="22"/>
                <w:u w:val="single"/>
                <w:lang w:val="fr-FR"/>
              </w:rPr>
            </w:pPr>
            <w:r w:rsidRPr="00273D4C">
              <w:rPr>
                <w:rFonts w:ascii="Arial" w:hAnsi="Arial"/>
                <w:iCs/>
                <w:sz w:val="22"/>
                <w:szCs w:val="22"/>
                <w:u w:val="single"/>
                <w:lang w:val="fr-FR"/>
              </w:rPr>
              <w:t>Nom et prénom de l’auteur :</w:t>
            </w:r>
            <w:r w:rsidRPr="00273D4C">
              <w:rPr>
                <w:rFonts w:ascii="Arial" w:hAnsi="Arial"/>
                <w:iCs/>
                <w:sz w:val="22"/>
                <w:szCs w:val="22"/>
                <w:lang w:val="fr-FR"/>
              </w:rPr>
              <w:tab/>
            </w:r>
            <w:r w:rsidRPr="00273D4C">
              <w:rPr>
                <w:rFonts w:ascii="Arial" w:hAnsi="Arial"/>
                <w:iCs/>
                <w:sz w:val="22"/>
                <w:szCs w:val="22"/>
                <w:u w:val="single"/>
                <w:lang w:val="fr-FR"/>
              </w:rPr>
              <w:t>Signature :</w:t>
            </w:r>
          </w:p>
          <w:p w:rsidR="00273D4C" w:rsidRPr="00273D4C" w:rsidRDefault="00712447" w:rsidP="00273D4C">
            <w:pPr>
              <w:tabs>
                <w:tab w:val="left" w:pos="4820"/>
                <w:tab w:val="left" w:pos="6521"/>
              </w:tabs>
              <w:spacing w:before="120" w:after="120"/>
              <w:jc w:val="both"/>
              <w:rPr>
                <w:rFonts w:ascii="Arial" w:hAnsi="Arial"/>
                <w:iCs/>
                <w:sz w:val="22"/>
                <w:szCs w:val="22"/>
                <w:lang w:val="fr-FR"/>
              </w:rPr>
            </w:pPr>
            <w:r>
              <w:rPr>
                <w:rFonts w:ascii="Arial" w:hAnsi="Arial"/>
                <w:iCs/>
                <w:sz w:val="22"/>
                <w:szCs w:val="22"/>
                <w:lang w:val="fr-FR"/>
              </w:rPr>
              <w:t>Fabienne Freymond Cantone</w:t>
            </w:r>
          </w:p>
          <w:p w:rsidR="00273D4C" w:rsidRPr="00273D4C" w:rsidRDefault="00273D4C" w:rsidP="00273D4C">
            <w:pPr>
              <w:tabs>
                <w:tab w:val="left" w:pos="5936"/>
                <w:tab w:val="left" w:pos="6521"/>
              </w:tabs>
              <w:ind w:left="-4"/>
              <w:jc w:val="both"/>
              <w:rPr>
                <w:rFonts w:ascii="Arial" w:hAnsi="Arial"/>
                <w:iCs/>
                <w:sz w:val="22"/>
                <w:szCs w:val="22"/>
                <w:u w:val="single"/>
                <w:lang w:val="fr-FR"/>
              </w:rPr>
            </w:pPr>
            <w:r w:rsidRPr="00273D4C">
              <w:rPr>
                <w:rFonts w:ascii="Arial" w:hAnsi="Arial"/>
                <w:iCs/>
                <w:sz w:val="22"/>
                <w:szCs w:val="22"/>
                <w:u w:val="single"/>
                <w:lang w:val="fr-FR"/>
              </w:rPr>
              <w:t>Nom(s) et prénom(s) du (des) consort(s) :</w:t>
            </w:r>
            <w:r w:rsidRPr="00273D4C">
              <w:rPr>
                <w:rFonts w:ascii="Arial" w:hAnsi="Arial"/>
                <w:iCs/>
                <w:sz w:val="22"/>
                <w:szCs w:val="22"/>
                <w:lang w:val="fr-FR"/>
              </w:rPr>
              <w:tab/>
            </w:r>
            <w:r w:rsidRPr="00273D4C">
              <w:rPr>
                <w:rFonts w:ascii="Arial" w:hAnsi="Arial"/>
                <w:iCs/>
                <w:sz w:val="22"/>
                <w:szCs w:val="22"/>
                <w:u w:val="single"/>
                <w:lang w:val="fr-FR"/>
              </w:rPr>
              <w:t>Signature(s) :</w:t>
            </w:r>
          </w:p>
          <w:p w:rsidR="00273D4C" w:rsidRPr="00273D4C" w:rsidRDefault="00273D4C" w:rsidP="00273D4C">
            <w:pPr>
              <w:tabs>
                <w:tab w:val="left" w:pos="5936"/>
                <w:tab w:val="left" w:pos="6521"/>
              </w:tabs>
              <w:spacing w:before="120" w:after="120" w:line="360" w:lineRule="auto"/>
              <w:ind w:left="-4"/>
              <w:jc w:val="both"/>
              <w:rPr>
                <w:rFonts w:ascii="Arial" w:hAnsi="Arial"/>
                <w:iCs/>
                <w:sz w:val="22"/>
                <w:szCs w:val="22"/>
                <w:lang w:val="fr-FR"/>
              </w:rPr>
            </w:pPr>
          </w:p>
          <w:p w:rsidR="00273D4C" w:rsidRPr="00273D4C" w:rsidRDefault="00273D4C" w:rsidP="00273D4C">
            <w:pPr>
              <w:tabs>
                <w:tab w:val="left" w:pos="5936"/>
                <w:tab w:val="left" w:pos="6521"/>
              </w:tabs>
              <w:ind w:left="-4"/>
              <w:jc w:val="both"/>
              <w:rPr>
                <w:rFonts w:ascii="Arial" w:hAnsi="Arial"/>
                <w:iCs/>
                <w:sz w:val="22"/>
                <w:szCs w:val="22"/>
                <w:lang w:val="fr-FR"/>
              </w:rPr>
            </w:pPr>
          </w:p>
        </w:tc>
      </w:tr>
    </w:tbl>
    <w:p w:rsidR="00273D4C" w:rsidRPr="00273D4C" w:rsidRDefault="00273D4C" w:rsidP="00273D4C">
      <w:pPr>
        <w:tabs>
          <w:tab w:val="left" w:pos="1335"/>
        </w:tabs>
        <w:rPr>
          <w:rFonts w:ascii="Arial" w:hAnsi="Arial"/>
          <w:szCs w:val="20"/>
          <w:lang w:val="fr-FR"/>
        </w:rPr>
      </w:pPr>
    </w:p>
    <w:p w:rsidR="00273D4C" w:rsidRPr="00273D4C" w:rsidRDefault="00273D4C" w:rsidP="00273D4C">
      <w:pPr>
        <w:pBdr>
          <w:top w:val="single" w:sz="4" w:space="1" w:color="auto"/>
          <w:left w:val="single" w:sz="4" w:space="4" w:color="auto"/>
          <w:bottom w:val="single" w:sz="4" w:space="1" w:color="auto"/>
          <w:right w:val="single" w:sz="4" w:space="0" w:color="auto"/>
        </w:pBdr>
        <w:tabs>
          <w:tab w:val="left" w:pos="1335"/>
        </w:tabs>
        <w:ind w:left="-180"/>
        <w:rPr>
          <w:rFonts w:ascii="Arial" w:hAnsi="Arial"/>
          <w:szCs w:val="20"/>
          <w:lang w:val="fr-FR"/>
        </w:rPr>
      </w:pPr>
      <w:r w:rsidRPr="00273D4C">
        <w:rPr>
          <w:rFonts w:ascii="Arial" w:hAnsi="Arial"/>
          <w:spacing w:val="-6"/>
          <w:lang w:val="fr-FR"/>
        </w:rPr>
        <w:br/>
      </w:r>
      <w:r w:rsidRPr="00273D4C">
        <w:rPr>
          <w:rFonts w:ascii="Arial" w:hAnsi="Arial"/>
          <w:b/>
          <w:spacing w:val="-6"/>
          <w:lang w:val="fr-FR"/>
        </w:rPr>
        <w:t>Merci d’envoyer une copie à la boîte mail du Bulletin :</w:t>
      </w:r>
      <w:r w:rsidRPr="00273D4C">
        <w:rPr>
          <w:rFonts w:ascii="Arial" w:hAnsi="Arial"/>
          <w:spacing w:val="-6"/>
          <w:lang w:val="fr-FR"/>
        </w:rPr>
        <w:t xml:space="preserve"> </w:t>
      </w:r>
      <w:hyperlink r:id="rId14" w:history="1">
        <w:r w:rsidRPr="00273D4C">
          <w:rPr>
            <w:rFonts w:ascii="Arial" w:hAnsi="Arial"/>
            <w:color w:val="0000FF"/>
            <w:spacing w:val="-6"/>
            <w:u w:val="single"/>
            <w:lang w:val="fr-FR"/>
          </w:rPr>
          <w:t>bulletin.grandconseil@vd.ch</w:t>
        </w:r>
      </w:hyperlink>
      <w:r w:rsidRPr="00273D4C">
        <w:rPr>
          <w:rFonts w:ascii="Arial" w:hAnsi="Arial"/>
          <w:spacing w:val="-6"/>
          <w:lang w:val="fr-FR"/>
        </w:rPr>
        <w:br/>
      </w:r>
    </w:p>
    <w:p w:rsidR="00E24091" w:rsidRDefault="00E24091"/>
    <w:sectPr w:rsidR="00E24091" w:rsidSect="00AC128B">
      <w:headerReference w:type="even" r:id="rId15"/>
      <w:pgSz w:w="11907" w:h="16840" w:code="9"/>
      <w:pgMar w:top="567" w:right="1134" w:bottom="1560" w:left="1134" w:header="720" w:footer="5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B4" w:rsidRDefault="000861B4">
      <w:r>
        <w:separator/>
      </w:r>
    </w:p>
  </w:endnote>
  <w:endnote w:type="continuationSeparator" w:id="0">
    <w:p w:rsidR="000861B4" w:rsidRDefault="0008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B4" w:rsidRDefault="000861B4">
      <w:r>
        <w:separator/>
      </w:r>
    </w:p>
  </w:footnote>
  <w:footnote w:type="continuationSeparator" w:id="0">
    <w:p w:rsidR="000861B4" w:rsidRDefault="0008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B4" w:rsidRDefault="000861B4" w:rsidP="00AC12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861B4" w:rsidRDefault="000861B4" w:rsidP="00AC128B">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464E4"/>
    <w:multiLevelType w:val="hybridMultilevel"/>
    <w:tmpl w:val="C0DEB032"/>
    <w:lvl w:ilvl="0" w:tplc="167E3E96">
      <w:start w:val="1"/>
      <w:numFmt w:val="decimal"/>
      <w:lvlText w:val="%1."/>
      <w:lvlJc w:val="left"/>
      <w:pPr>
        <w:ind w:left="720" w:hanging="360"/>
      </w:pPr>
      <w:rPr>
        <w:rFonts w:hint="default"/>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4A42A45"/>
    <w:multiLevelType w:val="hybridMultilevel"/>
    <w:tmpl w:val="FB580DD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4C"/>
    <w:rsid w:val="000861B4"/>
    <w:rsid w:val="00105552"/>
    <w:rsid w:val="00123BF8"/>
    <w:rsid w:val="00184B98"/>
    <w:rsid w:val="001C0908"/>
    <w:rsid w:val="00200276"/>
    <w:rsid w:val="00222188"/>
    <w:rsid w:val="00222890"/>
    <w:rsid w:val="00273D4C"/>
    <w:rsid w:val="002D60EF"/>
    <w:rsid w:val="00332C19"/>
    <w:rsid w:val="003813D8"/>
    <w:rsid w:val="003D0206"/>
    <w:rsid w:val="00412D2D"/>
    <w:rsid w:val="00681DD7"/>
    <w:rsid w:val="006A4A50"/>
    <w:rsid w:val="00712447"/>
    <w:rsid w:val="007825D2"/>
    <w:rsid w:val="007E449F"/>
    <w:rsid w:val="008465F6"/>
    <w:rsid w:val="00854395"/>
    <w:rsid w:val="00880F04"/>
    <w:rsid w:val="0093604A"/>
    <w:rsid w:val="009F521A"/>
    <w:rsid w:val="00A03938"/>
    <w:rsid w:val="00AC128B"/>
    <w:rsid w:val="00B466FA"/>
    <w:rsid w:val="00C570F9"/>
    <w:rsid w:val="00C66723"/>
    <w:rsid w:val="00DD1F36"/>
    <w:rsid w:val="00E24091"/>
    <w:rsid w:val="00E73126"/>
    <w:rsid w:val="00FF33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aliases w:val="Titre 1.1"/>
    <w:basedOn w:val="Normal"/>
    <w:next w:val="Normal"/>
    <w:qFormat/>
    <w:rsid w:val="001C0908"/>
    <w:pPr>
      <w:keepNext/>
      <w:spacing w:before="240" w:after="60" w:line="276" w:lineRule="auto"/>
      <w:outlineLvl w:val="0"/>
    </w:pPr>
    <w:rPr>
      <w:rFonts w:ascii="Arial" w:hAnsi="Arial" w:cs="Arial"/>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3D4C"/>
    <w:pPr>
      <w:tabs>
        <w:tab w:val="center" w:pos="4536"/>
        <w:tab w:val="right" w:pos="9072"/>
      </w:tabs>
    </w:pPr>
    <w:rPr>
      <w:rFonts w:ascii="Arial" w:hAnsi="Arial"/>
      <w:szCs w:val="20"/>
      <w:lang w:val="fr-FR"/>
    </w:rPr>
  </w:style>
  <w:style w:type="character" w:customStyle="1" w:styleId="En-tteCar">
    <w:name w:val="En-tête Car"/>
    <w:basedOn w:val="Policepardfaut"/>
    <w:link w:val="En-tte"/>
    <w:rsid w:val="00273D4C"/>
    <w:rPr>
      <w:rFonts w:ascii="Arial" w:hAnsi="Arial"/>
      <w:sz w:val="24"/>
      <w:lang w:val="fr-FR"/>
    </w:rPr>
  </w:style>
  <w:style w:type="character" w:styleId="Numrodepage">
    <w:name w:val="page number"/>
    <w:basedOn w:val="Policepardfaut"/>
    <w:rsid w:val="00273D4C"/>
  </w:style>
  <w:style w:type="paragraph" w:styleId="Textedebulles">
    <w:name w:val="Balloon Text"/>
    <w:basedOn w:val="Normal"/>
    <w:link w:val="TextedebullesCar"/>
    <w:uiPriority w:val="99"/>
    <w:semiHidden/>
    <w:unhideWhenUsed/>
    <w:rsid w:val="00273D4C"/>
    <w:rPr>
      <w:rFonts w:ascii="Tahoma" w:hAnsi="Tahoma" w:cs="Tahoma"/>
      <w:sz w:val="16"/>
      <w:szCs w:val="16"/>
    </w:rPr>
  </w:style>
  <w:style w:type="character" w:customStyle="1" w:styleId="TextedebullesCar">
    <w:name w:val="Texte de bulles Car"/>
    <w:basedOn w:val="Policepardfaut"/>
    <w:link w:val="Textedebulles"/>
    <w:uiPriority w:val="99"/>
    <w:semiHidden/>
    <w:rsid w:val="00273D4C"/>
    <w:rPr>
      <w:rFonts w:ascii="Tahoma" w:hAnsi="Tahoma" w:cs="Tahoma"/>
      <w:sz w:val="16"/>
      <w:szCs w:val="16"/>
    </w:rPr>
  </w:style>
  <w:style w:type="character" w:styleId="Lienhypertexte">
    <w:name w:val="Hyperlink"/>
    <w:basedOn w:val="Policepardfaut"/>
    <w:uiPriority w:val="99"/>
    <w:semiHidden/>
    <w:unhideWhenUsed/>
    <w:rsid w:val="00AC128B"/>
    <w:rPr>
      <w:color w:val="0000FF"/>
      <w:u w:val="single"/>
    </w:rPr>
  </w:style>
  <w:style w:type="paragraph" w:styleId="Paragraphedeliste">
    <w:name w:val="List Paragraph"/>
    <w:basedOn w:val="Normal"/>
    <w:uiPriority w:val="34"/>
    <w:qFormat/>
    <w:rsid w:val="00AC128B"/>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aliases w:val="Titre 1.1"/>
    <w:basedOn w:val="Normal"/>
    <w:next w:val="Normal"/>
    <w:qFormat/>
    <w:rsid w:val="001C0908"/>
    <w:pPr>
      <w:keepNext/>
      <w:spacing w:before="240" w:after="60" w:line="276" w:lineRule="auto"/>
      <w:outlineLvl w:val="0"/>
    </w:pPr>
    <w:rPr>
      <w:rFonts w:ascii="Arial" w:hAnsi="Arial" w:cs="Arial"/>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3D4C"/>
    <w:pPr>
      <w:tabs>
        <w:tab w:val="center" w:pos="4536"/>
        <w:tab w:val="right" w:pos="9072"/>
      </w:tabs>
    </w:pPr>
    <w:rPr>
      <w:rFonts w:ascii="Arial" w:hAnsi="Arial"/>
      <w:szCs w:val="20"/>
      <w:lang w:val="fr-FR"/>
    </w:rPr>
  </w:style>
  <w:style w:type="character" w:customStyle="1" w:styleId="En-tteCar">
    <w:name w:val="En-tête Car"/>
    <w:basedOn w:val="Policepardfaut"/>
    <w:link w:val="En-tte"/>
    <w:rsid w:val="00273D4C"/>
    <w:rPr>
      <w:rFonts w:ascii="Arial" w:hAnsi="Arial"/>
      <w:sz w:val="24"/>
      <w:lang w:val="fr-FR"/>
    </w:rPr>
  </w:style>
  <w:style w:type="character" w:styleId="Numrodepage">
    <w:name w:val="page number"/>
    <w:basedOn w:val="Policepardfaut"/>
    <w:rsid w:val="00273D4C"/>
  </w:style>
  <w:style w:type="paragraph" w:styleId="Textedebulles">
    <w:name w:val="Balloon Text"/>
    <w:basedOn w:val="Normal"/>
    <w:link w:val="TextedebullesCar"/>
    <w:uiPriority w:val="99"/>
    <w:semiHidden/>
    <w:unhideWhenUsed/>
    <w:rsid w:val="00273D4C"/>
    <w:rPr>
      <w:rFonts w:ascii="Tahoma" w:hAnsi="Tahoma" w:cs="Tahoma"/>
      <w:sz w:val="16"/>
      <w:szCs w:val="16"/>
    </w:rPr>
  </w:style>
  <w:style w:type="character" w:customStyle="1" w:styleId="TextedebullesCar">
    <w:name w:val="Texte de bulles Car"/>
    <w:basedOn w:val="Policepardfaut"/>
    <w:link w:val="Textedebulles"/>
    <w:uiPriority w:val="99"/>
    <w:semiHidden/>
    <w:rsid w:val="00273D4C"/>
    <w:rPr>
      <w:rFonts w:ascii="Tahoma" w:hAnsi="Tahoma" w:cs="Tahoma"/>
      <w:sz w:val="16"/>
      <w:szCs w:val="16"/>
    </w:rPr>
  </w:style>
  <w:style w:type="character" w:styleId="Lienhypertexte">
    <w:name w:val="Hyperlink"/>
    <w:basedOn w:val="Policepardfaut"/>
    <w:uiPriority w:val="99"/>
    <w:semiHidden/>
    <w:unhideWhenUsed/>
    <w:rsid w:val="00AC128B"/>
    <w:rPr>
      <w:color w:val="0000FF"/>
      <w:u w:val="single"/>
    </w:rPr>
  </w:style>
  <w:style w:type="paragraph" w:styleId="Paragraphedeliste">
    <w:name w:val="List Paragraph"/>
    <w:basedOn w:val="Normal"/>
    <w:uiPriority w:val="34"/>
    <w:qFormat/>
    <w:rsid w:val="00AC128B"/>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ipretvaud.ch/wp/wp-content/uploads/2013/12/20100914_Communiqu%C3%A9-de-presse_CIPRET-Vaud_1an_interdiction_fumer1.pdf" TargetMode="External"/><Relationship Id="rId14" Type="http://schemas.openxmlformats.org/officeDocument/2006/relationships/hyperlink" Target="mailto:bulletin.grandconseil@vd.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7574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GIRARDET Julien</dc:creator>
  <cp:lastModifiedBy>Utilisateur des députés</cp:lastModifiedBy>
  <cp:revision>2</cp:revision>
  <cp:lastPrinted>2016-10-09T18:26:00Z</cp:lastPrinted>
  <dcterms:created xsi:type="dcterms:W3CDTF">2016-10-11T09:21:00Z</dcterms:created>
  <dcterms:modified xsi:type="dcterms:W3CDTF">2016-10-11T09:21:00Z</dcterms:modified>
</cp:coreProperties>
</file>